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A18" w:rsidRDefault="00DE1D7D">
      <w:pPr>
        <w:jc w:val="center"/>
        <w:rPr>
          <w:rFonts w:ascii="黑体" w:eastAsia="黑体"/>
          <w:sz w:val="32"/>
          <w:szCs w:val="32"/>
        </w:rPr>
      </w:pPr>
      <w:r>
        <w:rPr>
          <w:rFonts w:ascii="黑体" w:eastAsia="黑体" w:hAnsi="黑体" w:hint="eastAsia"/>
          <w:sz w:val="32"/>
          <w:szCs w:val="32"/>
        </w:rPr>
        <w:t>团委</w:t>
      </w:r>
    </w:p>
    <w:p w:rsidR="00F95A18" w:rsidRDefault="00DE1D7D">
      <w:pPr>
        <w:jc w:val="center"/>
        <w:rPr>
          <w:rFonts w:ascii="黑体" w:eastAsia="黑体"/>
          <w:sz w:val="32"/>
          <w:szCs w:val="32"/>
        </w:rPr>
      </w:pPr>
      <w:r>
        <w:rPr>
          <w:rFonts w:ascii="黑体" w:eastAsia="黑体" w:hint="eastAsia"/>
          <w:sz w:val="32"/>
          <w:szCs w:val="32"/>
        </w:rPr>
        <w:t>2023年目标责任制考核职能目标与任务</w:t>
      </w:r>
    </w:p>
    <w:tbl>
      <w:tblPr>
        <w:tblW w:w="13729" w:type="dxa"/>
        <w:jc w:val="center"/>
        <w:tblLayout w:type="fixed"/>
        <w:tblLook w:val="04A0" w:firstRow="1" w:lastRow="0" w:firstColumn="1" w:lastColumn="0" w:noHBand="0" w:noVBand="1"/>
      </w:tblPr>
      <w:tblGrid>
        <w:gridCol w:w="495"/>
        <w:gridCol w:w="510"/>
        <w:gridCol w:w="1073"/>
        <w:gridCol w:w="3260"/>
        <w:gridCol w:w="567"/>
        <w:gridCol w:w="7088"/>
        <w:gridCol w:w="736"/>
      </w:tblGrid>
      <w:tr w:rsidR="00F95A18" w:rsidTr="008A5E88">
        <w:trPr>
          <w:trHeight w:val="543"/>
          <w:jc w:val="center"/>
        </w:trPr>
        <w:tc>
          <w:tcPr>
            <w:tcW w:w="495" w:type="dxa"/>
            <w:tcBorders>
              <w:top w:val="single" w:sz="4" w:space="0" w:color="auto"/>
              <w:left w:val="single" w:sz="4" w:space="0" w:color="auto"/>
              <w:bottom w:val="single" w:sz="4" w:space="0" w:color="auto"/>
              <w:right w:val="single" w:sz="4" w:space="0" w:color="auto"/>
            </w:tcBorders>
            <w:vAlign w:val="center"/>
          </w:tcPr>
          <w:p w:rsidR="00F95A18" w:rsidRDefault="00DE1D7D">
            <w:pPr>
              <w:jc w:val="center"/>
              <w:rPr>
                <w:rFonts w:ascii="宋体" w:hAnsi="宋体" w:cs="宋体"/>
                <w:b/>
                <w:bCs/>
              </w:rPr>
            </w:pPr>
            <w:r>
              <w:rPr>
                <w:rFonts w:ascii="宋体" w:hAnsi="宋体" w:cs="宋体" w:hint="eastAsia"/>
                <w:b/>
                <w:bCs/>
              </w:rPr>
              <w:t>类别</w:t>
            </w:r>
          </w:p>
        </w:tc>
        <w:tc>
          <w:tcPr>
            <w:tcW w:w="510" w:type="dxa"/>
            <w:tcBorders>
              <w:top w:val="single" w:sz="4" w:space="0" w:color="auto"/>
              <w:left w:val="nil"/>
              <w:bottom w:val="single" w:sz="4" w:space="0" w:color="auto"/>
              <w:right w:val="single" w:sz="4" w:space="0" w:color="auto"/>
            </w:tcBorders>
            <w:vAlign w:val="center"/>
          </w:tcPr>
          <w:p w:rsidR="00F95A18" w:rsidRDefault="00DE1D7D">
            <w:pPr>
              <w:jc w:val="center"/>
              <w:rPr>
                <w:rFonts w:ascii="宋体" w:hAnsi="宋体" w:cs="宋体"/>
                <w:b/>
                <w:bCs/>
              </w:rPr>
            </w:pPr>
            <w:r>
              <w:rPr>
                <w:rFonts w:ascii="宋体" w:hAnsi="宋体" w:cs="宋体" w:hint="eastAsia"/>
                <w:b/>
                <w:bCs/>
              </w:rPr>
              <w:t>序号</w:t>
            </w:r>
          </w:p>
        </w:tc>
        <w:tc>
          <w:tcPr>
            <w:tcW w:w="1073" w:type="dxa"/>
            <w:tcBorders>
              <w:top w:val="single" w:sz="4" w:space="0" w:color="auto"/>
              <w:left w:val="nil"/>
              <w:bottom w:val="single" w:sz="4" w:space="0" w:color="auto"/>
              <w:right w:val="single" w:sz="4" w:space="0" w:color="auto"/>
            </w:tcBorders>
            <w:vAlign w:val="center"/>
          </w:tcPr>
          <w:p w:rsidR="00F95A18" w:rsidRDefault="00DE1D7D">
            <w:pPr>
              <w:jc w:val="center"/>
              <w:rPr>
                <w:rFonts w:ascii="宋体" w:hAnsi="宋体" w:cs="宋体"/>
                <w:b/>
                <w:bCs/>
              </w:rPr>
            </w:pPr>
            <w:r>
              <w:rPr>
                <w:rFonts w:ascii="宋体" w:hAnsi="宋体" w:cs="宋体" w:hint="eastAsia"/>
                <w:b/>
                <w:bCs/>
              </w:rPr>
              <w:t>职责或项目</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jc w:val="center"/>
              <w:rPr>
                <w:rFonts w:ascii="宋体" w:hAnsi="宋体" w:cs="宋体"/>
                <w:b/>
                <w:bCs/>
              </w:rPr>
            </w:pPr>
            <w:r>
              <w:rPr>
                <w:rFonts w:ascii="宋体" w:hAnsi="宋体" w:cs="宋体" w:hint="eastAsia"/>
                <w:b/>
                <w:bCs/>
              </w:rPr>
              <w:t>具体目标、任务或措施</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jc w:val="center"/>
              <w:rPr>
                <w:rFonts w:ascii="宋体" w:hAnsi="宋体" w:cs="宋体"/>
                <w:b/>
                <w:bCs/>
              </w:rPr>
            </w:pPr>
            <w:r>
              <w:rPr>
                <w:rFonts w:ascii="宋体" w:hAnsi="宋体" w:cs="宋体" w:hint="eastAsia"/>
                <w:b/>
                <w:bCs/>
              </w:rPr>
              <w:t>分值</w:t>
            </w:r>
          </w:p>
        </w:tc>
        <w:tc>
          <w:tcPr>
            <w:tcW w:w="7088" w:type="dxa"/>
            <w:tcBorders>
              <w:top w:val="single" w:sz="4" w:space="0" w:color="auto"/>
              <w:left w:val="nil"/>
              <w:bottom w:val="single" w:sz="4" w:space="0" w:color="auto"/>
              <w:right w:val="single" w:sz="4" w:space="0" w:color="auto"/>
            </w:tcBorders>
            <w:vAlign w:val="center"/>
          </w:tcPr>
          <w:p w:rsidR="00F95A18" w:rsidRDefault="00DE1D7D">
            <w:pPr>
              <w:widowControl/>
              <w:jc w:val="center"/>
              <w:rPr>
                <w:rFonts w:ascii="宋体" w:hAnsi="宋体" w:cs="宋体"/>
                <w:b/>
                <w:bCs/>
              </w:rPr>
            </w:pPr>
            <w:r>
              <w:rPr>
                <w:rFonts w:ascii="宋体" w:hAnsi="宋体" w:cs="宋体" w:hint="eastAsia"/>
                <w:b/>
                <w:bCs/>
              </w:rPr>
              <w:t>完成情况</w:t>
            </w:r>
          </w:p>
        </w:tc>
        <w:tc>
          <w:tcPr>
            <w:tcW w:w="736" w:type="dxa"/>
            <w:tcBorders>
              <w:top w:val="single" w:sz="4" w:space="0" w:color="auto"/>
              <w:left w:val="nil"/>
              <w:bottom w:val="single" w:sz="4" w:space="0" w:color="auto"/>
              <w:right w:val="single" w:sz="4" w:space="0" w:color="auto"/>
            </w:tcBorders>
            <w:vAlign w:val="center"/>
          </w:tcPr>
          <w:p w:rsidR="00F95A18" w:rsidRDefault="00DE1D7D">
            <w:pPr>
              <w:widowControl/>
              <w:jc w:val="center"/>
              <w:rPr>
                <w:rFonts w:ascii="宋体" w:hAnsi="宋体" w:cs="宋体"/>
                <w:b/>
                <w:bCs/>
              </w:rPr>
            </w:pPr>
            <w:r>
              <w:rPr>
                <w:rFonts w:ascii="宋体" w:hAnsi="宋体" w:cs="宋体" w:hint="eastAsia"/>
                <w:b/>
                <w:bCs/>
              </w:rPr>
              <w:t>自评得分</w:t>
            </w:r>
          </w:p>
        </w:tc>
      </w:tr>
      <w:tr w:rsidR="00F95A18" w:rsidTr="008A5E88">
        <w:trPr>
          <w:trHeight w:val="1379"/>
          <w:jc w:val="center"/>
        </w:trPr>
        <w:tc>
          <w:tcPr>
            <w:tcW w:w="495" w:type="dxa"/>
            <w:vMerge w:val="restart"/>
            <w:tcBorders>
              <w:top w:val="nil"/>
              <w:left w:val="single" w:sz="4" w:space="0" w:color="auto"/>
              <w:right w:val="single" w:sz="4" w:space="0" w:color="auto"/>
            </w:tcBorders>
            <w:vAlign w:val="center"/>
          </w:tcPr>
          <w:p w:rsidR="00F95A18" w:rsidRDefault="00DE1D7D">
            <w:pPr>
              <w:snapToGrid w:val="0"/>
              <w:jc w:val="center"/>
              <w:rPr>
                <w:rFonts w:ascii="宋体" w:hAnsi="宋体" w:cs="宋体"/>
              </w:rPr>
            </w:pPr>
            <w:r>
              <w:rPr>
                <w:rFonts w:ascii="宋体" w:hAnsi="宋体" w:cs="宋体" w:hint="eastAsia"/>
              </w:rPr>
              <w:t>重点突破工作</w:t>
            </w:r>
          </w:p>
        </w:tc>
        <w:tc>
          <w:tcPr>
            <w:tcW w:w="510" w:type="dxa"/>
            <w:tcBorders>
              <w:top w:val="single" w:sz="4" w:space="0" w:color="auto"/>
              <w:left w:val="nil"/>
              <w:bottom w:val="single" w:sz="4" w:space="0" w:color="auto"/>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1</w:t>
            </w:r>
          </w:p>
        </w:tc>
        <w:tc>
          <w:tcPr>
            <w:tcW w:w="1073"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hint="eastAsia"/>
              </w:rPr>
              <w:t>突出思想政治引领，开展教育实践活动</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rPr>
                <w:rFonts w:ascii="宋体" w:hAnsi="宋体" w:cs="宋体"/>
              </w:rPr>
            </w:pPr>
            <w:r>
              <w:rPr>
                <w:rFonts w:ascii="宋体" w:hAnsi="宋体" w:cs="宋体" w:hint="eastAsia"/>
              </w:rPr>
              <w:t>1.坚持全面学习党的二十大精神，深入开展多种形式的教育学习实践活动，持续兴起学习热潮。</w:t>
            </w:r>
          </w:p>
          <w:p w:rsidR="00F95A18" w:rsidRDefault="00DE1D7D">
            <w:pPr>
              <w:widowControl/>
              <w:adjustRightInd w:val="0"/>
              <w:spacing w:line="420" w:lineRule="exact"/>
              <w:jc w:val="left"/>
              <w:rPr>
                <w:rFonts w:ascii="宋体" w:hAnsi="宋体" w:cs="宋体"/>
              </w:rPr>
            </w:pPr>
            <w:r>
              <w:rPr>
                <w:rFonts w:ascii="宋体" w:hAnsi="宋体" w:cs="宋体" w:hint="eastAsia"/>
              </w:rPr>
              <w:t>2.擦亮“丽职青年说”理论宣讲品牌，开展新时代青年理论宣讲团、思政微课大赛、党团知识竞赛等活动。</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20</w:t>
            </w:r>
          </w:p>
        </w:tc>
        <w:tc>
          <w:tcPr>
            <w:tcW w:w="7088" w:type="dxa"/>
            <w:tcBorders>
              <w:top w:val="single" w:sz="4" w:space="0" w:color="auto"/>
              <w:left w:val="nil"/>
              <w:bottom w:val="single" w:sz="4" w:space="0" w:color="auto"/>
              <w:right w:val="single" w:sz="4" w:space="0" w:color="auto"/>
            </w:tcBorders>
            <w:vAlign w:val="center"/>
          </w:tcPr>
          <w:p w:rsidR="00DE1D7D" w:rsidRDefault="00DE1D7D" w:rsidP="008A5E88">
            <w:pPr>
              <w:pStyle w:val="a6"/>
              <w:widowControl/>
              <w:numPr>
                <w:ilvl w:val="0"/>
                <w:numId w:val="1"/>
              </w:numPr>
              <w:tabs>
                <w:tab w:val="left" w:pos="122"/>
              </w:tabs>
              <w:adjustRightInd w:val="0"/>
              <w:spacing w:line="360" w:lineRule="exact"/>
              <w:ind w:left="-20" w:firstLineChars="9" w:firstLine="19"/>
              <w:rPr>
                <w:rFonts w:ascii="宋体" w:hAnsi="宋体" w:cs="宋体"/>
              </w:rPr>
            </w:pPr>
            <w:r w:rsidRPr="00DE1D7D">
              <w:rPr>
                <w:rFonts w:ascii="宋体" w:hAnsi="宋体" w:cs="宋体" w:hint="eastAsia"/>
              </w:rPr>
              <w:t>扎实推进团员和青年的主题教育。围绕四个专题学习党的创新理论，213个团支部（含功能型团支部）100%完成“4+1”主题学习。按照校党委主题教育工作总体部署，用好校内展馆群开展实践教学，用好浙西南革命精神文化，上好展馆群里的思政课。</w:t>
            </w:r>
          </w:p>
          <w:p w:rsidR="00DE1D7D" w:rsidRPr="00DE1D7D" w:rsidRDefault="00DE1D7D" w:rsidP="00DE1D7D">
            <w:pPr>
              <w:pStyle w:val="a6"/>
              <w:widowControl/>
              <w:numPr>
                <w:ilvl w:val="0"/>
                <w:numId w:val="1"/>
              </w:numPr>
              <w:tabs>
                <w:tab w:val="left" w:pos="122"/>
              </w:tabs>
              <w:adjustRightInd w:val="0"/>
              <w:spacing w:line="360" w:lineRule="exact"/>
              <w:ind w:left="0" w:firstLineChars="0" w:firstLine="0"/>
              <w:rPr>
                <w:rFonts w:ascii="宋体" w:hAnsi="宋体" w:cs="宋体"/>
              </w:rPr>
            </w:pPr>
            <w:r w:rsidRPr="00DE1D7D">
              <w:rPr>
                <w:rFonts w:ascii="宋体" w:hAnsi="宋体" w:cs="宋体" w:hint="eastAsia"/>
              </w:rPr>
              <w:t xml:space="preserve"> 举办“学习二十大 永远跟党走 奋进新征程”思政微课大赛，推荐师生参加浙江省思政微课大赛，获三等奖1项。开设“青春讲坛”、“劳模工匠进校园”、“青马课堂”等宣讲与培训讲座23场。擦亮“丽职•青年说”宣讲品牌，组织“丽职•青年说”宣讲大赛，与马克思主义学院共同开展“街头宣讲”、“音乐宣讲”等多种形式线上线下宣讲活动300余场。</w:t>
            </w:r>
          </w:p>
        </w:tc>
        <w:tc>
          <w:tcPr>
            <w:tcW w:w="736"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20</w:t>
            </w:r>
          </w:p>
        </w:tc>
      </w:tr>
      <w:tr w:rsidR="00F95A18" w:rsidTr="008A5E88">
        <w:trPr>
          <w:trHeight w:val="900"/>
          <w:jc w:val="center"/>
        </w:trPr>
        <w:tc>
          <w:tcPr>
            <w:tcW w:w="495" w:type="dxa"/>
            <w:vMerge/>
            <w:tcBorders>
              <w:left w:val="single" w:sz="4" w:space="0" w:color="auto"/>
              <w:right w:val="single" w:sz="4" w:space="0" w:color="auto"/>
            </w:tcBorders>
            <w:vAlign w:val="center"/>
          </w:tcPr>
          <w:p w:rsidR="00F95A18" w:rsidRDefault="00F95A18">
            <w:pPr>
              <w:widowControl/>
              <w:jc w:val="left"/>
              <w:rPr>
                <w:rFonts w:ascii="宋体" w:hAnsi="宋体" w:cs="宋体"/>
              </w:rPr>
            </w:pPr>
          </w:p>
        </w:tc>
        <w:tc>
          <w:tcPr>
            <w:tcW w:w="510" w:type="dxa"/>
            <w:tcBorders>
              <w:top w:val="single" w:sz="4" w:space="0" w:color="auto"/>
              <w:left w:val="nil"/>
              <w:bottom w:val="single" w:sz="4" w:space="0" w:color="auto"/>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2</w:t>
            </w:r>
          </w:p>
        </w:tc>
        <w:tc>
          <w:tcPr>
            <w:tcW w:w="1073"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hint="eastAsia"/>
              </w:rPr>
              <w:t>推进“美美与共”美育摇篮建设计划</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pPr>
            <w:r>
              <w:rPr>
                <w:rFonts w:hint="eastAsia"/>
              </w:rPr>
              <w:t>扩大美育资源覆盖面，为青年成长成才搭台赋能。建成大学生艺术团，举办社团嘉年华、校园“艺术</w:t>
            </w:r>
            <w:r>
              <w:rPr>
                <w:rFonts w:hint="eastAsia"/>
              </w:rPr>
              <w:t>+</w:t>
            </w:r>
            <w:r>
              <w:rPr>
                <w:rFonts w:hint="eastAsia"/>
              </w:rPr>
              <w:t>”、十佳歌手大赛等校园文化活动，全面提升学生美育素养。</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20</w:t>
            </w:r>
          </w:p>
        </w:tc>
        <w:tc>
          <w:tcPr>
            <w:tcW w:w="7088" w:type="dxa"/>
            <w:tcBorders>
              <w:top w:val="single" w:sz="4" w:space="0" w:color="auto"/>
              <w:left w:val="nil"/>
              <w:bottom w:val="single" w:sz="4" w:space="0" w:color="auto"/>
              <w:right w:val="single" w:sz="4" w:space="0" w:color="auto"/>
            </w:tcBorders>
            <w:vAlign w:val="center"/>
          </w:tcPr>
          <w:p w:rsidR="00F95A18" w:rsidRDefault="00DE1D7D" w:rsidP="00DE1D7D">
            <w:pPr>
              <w:widowControl/>
              <w:adjustRightInd w:val="0"/>
              <w:spacing w:line="360" w:lineRule="exact"/>
              <w:jc w:val="left"/>
              <w:rPr>
                <w:rFonts w:ascii="宋体" w:hAnsi="宋体" w:cs="宋体"/>
              </w:rPr>
            </w:pPr>
            <w:r w:rsidRPr="00DE1D7D">
              <w:rPr>
                <w:rFonts w:ascii="宋体" w:hAnsi="宋体" w:cs="宋体" w:hint="eastAsia"/>
              </w:rPr>
              <w:t>主题化、沉浸式塑造青春、时尚、动感的“青年味”的校园生活场景。持续开展“艺术+”系列活动，“轰动丽职、青年向城”街舞、“经典影视•声生不息”配音、“高雅艺术进校园”舞台剧、“声动丽职”十佳歌手、“体育文化周”社团嘉年华、“国风游园会”、“荔枝强音”小舞台等品牌文化活动200</w:t>
            </w:r>
            <w:r>
              <w:rPr>
                <w:rFonts w:ascii="宋体" w:hAnsi="宋体" w:cs="宋体" w:hint="eastAsia"/>
              </w:rPr>
              <w:t>余场</w:t>
            </w:r>
            <w:r w:rsidRPr="00DE1D7D">
              <w:rPr>
                <w:rFonts w:ascii="宋体" w:hAnsi="宋体" w:cs="宋体" w:hint="eastAsia"/>
              </w:rPr>
              <w:t>。在浙江省大学生艺术节中，获二等奖8项、三等奖4项，学校获最佳组织奖。</w:t>
            </w:r>
          </w:p>
        </w:tc>
        <w:tc>
          <w:tcPr>
            <w:tcW w:w="736"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20</w:t>
            </w:r>
          </w:p>
        </w:tc>
      </w:tr>
      <w:tr w:rsidR="00F95A18" w:rsidTr="008A5E88">
        <w:trPr>
          <w:trHeight w:val="1950"/>
          <w:jc w:val="center"/>
        </w:trPr>
        <w:tc>
          <w:tcPr>
            <w:tcW w:w="495" w:type="dxa"/>
            <w:vMerge/>
            <w:tcBorders>
              <w:left w:val="single" w:sz="4" w:space="0" w:color="auto"/>
              <w:bottom w:val="single" w:sz="4" w:space="0" w:color="auto"/>
              <w:right w:val="single" w:sz="4" w:space="0" w:color="auto"/>
            </w:tcBorders>
            <w:vAlign w:val="center"/>
          </w:tcPr>
          <w:p w:rsidR="00F95A18" w:rsidRDefault="00F95A18">
            <w:pPr>
              <w:widowControl/>
              <w:jc w:val="left"/>
              <w:rPr>
                <w:rFonts w:ascii="宋体" w:hAnsi="宋体" w:cs="宋体"/>
              </w:rPr>
            </w:pPr>
          </w:p>
        </w:tc>
        <w:tc>
          <w:tcPr>
            <w:tcW w:w="510" w:type="dxa"/>
            <w:tcBorders>
              <w:top w:val="single" w:sz="4" w:space="0" w:color="auto"/>
              <w:left w:val="nil"/>
              <w:bottom w:val="single" w:sz="4" w:space="0" w:color="auto"/>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3</w:t>
            </w:r>
          </w:p>
        </w:tc>
        <w:tc>
          <w:tcPr>
            <w:tcW w:w="1073"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hint="eastAsia"/>
                <w:kern w:val="2"/>
              </w:rPr>
              <w:t>助推全国文明校园创建工作</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pPr>
            <w:r>
              <w:rPr>
                <w:rFonts w:hint="eastAsia"/>
              </w:rPr>
              <w:t>1.</w:t>
            </w:r>
            <w:r>
              <w:rPr>
                <w:rFonts w:hint="eastAsia"/>
              </w:rPr>
              <w:t>打造校社共建新时代文明实践点，加强支部结对、团员报到等机制建设，迭代升级志愿服务品牌，新创青年文明号，积极发挥青年在文明校园创建和社区治理中的积极</w:t>
            </w:r>
            <w:r w:rsidR="0060155A">
              <w:rPr>
                <w:rFonts w:hint="eastAsia"/>
              </w:rPr>
              <w:t xml:space="preserve">  </w:t>
            </w:r>
            <w:bookmarkStart w:id="0" w:name="_GoBack"/>
            <w:bookmarkEnd w:id="0"/>
            <w:r>
              <w:rPr>
                <w:rFonts w:hint="eastAsia"/>
              </w:rPr>
              <w:t>作用。</w:t>
            </w:r>
          </w:p>
          <w:p w:rsidR="00F95A18" w:rsidRDefault="00DE1D7D">
            <w:pPr>
              <w:widowControl/>
              <w:adjustRightInd w:val="0"/>
              <w:spacing w:line="420" w:lineRule="exact"/>
              <w:jc w:val="left"/>
            </w:pPr>
            <w:r>
              <w:rPr>
                <w:rFonts w:hint="eastAsia"/>
              </w:rPr>
              <w:t>2.</w:t>
            </w:r>
            <w:r>
              <w:rPr>
                <w:rFonts w:ascii="宋体" w:hAnsi="宋体" w:cs="宋体" w:hint="eastAsia"/>
              </w:rPr>
              <w:t>结合3·5、5·4、12·5等节点开展文明实践活动，</w:t>
            </w:r>
            <w:r>
              <w:rPr>
                <w:rFonts w:ascii="宋体" w:hAnsi="宋体" w:cs="宋体"/>
              </w:rPr>
              <w:t>重点</w:t>
            </w:r>
            <w:r>
              <w:rPr>
                <w:rFonts w:ascii="宋体" w:hAnsi="宋体" w:cs="宋体" w:hint="eastAsia"/>
              </w:rPr>
              <w:t>挖掘、培育和宣传文明实践青年典型。</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20</w:t>
            </w:r>
          </w:p>
        </w:tc>
        <w:tc>
          <w:tcPr>
            <w:tcW w:w="7088" w:type="dxa"/>
            <w:tcBorders>
              <w:top w:val="single" w:sz="4" w:space="0" w:color="auto"/>
              <w:left w:val="nil"/>
              <w:bottom w:val="single" w:sz="4" w:space="0" w:color="auto"/>
              <w:right w:val="single" w:sz="4" w:space="0" w:color="auto"/>
            </w:tcBorders>
            <w:vAlign w:val="center"/>
          </w:tcPr>
          <w:p w:rsidR="00F95A18" w:rsidRPr="00DE1D7D" w:rsidRDefault="00DE1D7D" w:rsidP="00DE1D7D">
            <w:pPr>
              <w:pStyle w:val="a6"/>
              <w:widowControl/>
              <w:numPr>
                <w:ilvl w:val="0"/>
                <w:numId w:val="2"/>
              </w:numPr>
              <w:adjustRightInd w:val="0"/>
              <w:spacing w:line="360" w:lineRule="exact"/>
              <w:ind w:left="0" w:firstLineChars="0" w:firstLine="0"/>
              <w:jc w:val="left"/>
              <w:rPr>
                <w:rFonts w:ascii="宋体" w:hAnsi="宋体" w:cs="宋体"/>
              </w:rPr>
            </w:pPr>
            <w:r w:rsidRPr="00DE1D7D">
              <w:rPr>
                <w:rFonts w:ascii="宋体" w:hAnsi="宋体" w:cs="宋体" w:hint="eastAsia"/>
              </w:rPr>
              <w:t>推进1+1+N新时代校社共建文明实践点建设，以“校地共建、服务地方”为导向鼓励全体团员青年向社区报到，学校二级团总支与莲都区13个青春社区结对联建，开展党史宣讲、科技支农、疫情防控、垃圾分类、爱心课堂等实践活动。工商管理学院青春社志愿服务获白云街道接官亭社区颁发的“最美社区组织”。</w:t>
            </w:r>
          </w:p>
          <w:p w:rsidR="00DE1D7D" w:rsidRPr="00DE1D7D" w:rsidRDefault="00DE1D7D" w:rsidP="00DE1D7D">
            <w:pPr>
              <w:pStyle w:val="2"/>
              <w:numPr>
                <w:ilvl w:val="0"/>
                <w:numId w:val="2"/>
              </w:numPr>
              <w:spacing w:after="0" w:line="360" w:lineRule="exact"/>
              <w:ind w:leftChars="0" w:left="0" w:firstLineChars="0" w:firstLine="0"/>
            </w:pPr>
            <w:r w:rsidRPr="00DE1D7D">
              <w:rPr>
                <w:rFonts w:hint="eastAsia"/>
              </w:rPr>
              <w:t>举办“榜样的力量”金松果志愿服务月教育实践活动，表彰先进典型，弘扬志愿服务精神。对志愿者管理和志愿服务时长认定等制度进行修订。组织参加校内外志愿服务活动志愿服务</w:t>
            </w:r>
            <w:r w:rsidRPr="00DE1D7D">
              <w:rPr>
                <w:rFonts w:hint="eastAsia"/>
              </w:rPr>
              <w:t>2394</w:t>
            </w:r>
            <w:r w:rsidRPr="00DE1D7D">
              <w:rPr>
                <w:rFonts w:hint="eastAsia"/>
              </w:rPr>
              <w:t>次，志愿时长共计</w:t>
            </w:r>
            <w:r w:rsidRPr="00DE1D7D">
              <w:rPr>
                <w:rFonts w:hint="eastAsia"/>
              </w:rPr>
              <w:t>19</w:t>
            </w:r>
            <w:r w:rsidRPr="00DE1D7D">
              <w:rPr>
                <w:rFonts w:hint="eastAsia"/>
              </w:rPr>
              <w:t>万小时，献血</w:t>
            </w:r>
            <w:r w:rsidRPr="00DE1D7D">
              <w:rPr>
                <w:rFonts w:hint="eastAsia"/>
              </w:rPr>
              <w:t>151400</w:t>
            </w:r>
            <w:r w:rsidRPr="00DE1D7D">
              <w:rPr>
                <w:rFonts w:hint="eastAsia"/>
              </w:rPr>
              <w:t>毫升，志愿服务总活跃度居全省高校第三，在团省委会议上受到表扬。“海豚守未”志愿服务队获丽水市新时代文明实践志愿服务项目优胜奖。</w:t>
            </w:r>
          </w:p>
        </w:tc>
        <w:tc>
          <w:tcPr>
            <w:tcW w:w="736" w:type="dxa"/>
            <w:tcBorders>
              <w:top w:val="single" w:sz="4" w:space="0" w:color="auto"/>
              <w:left w:val="nil"/>
              <w:bottom w:val="single" w:sz="4" w:space="0" w:color="auto"/>
              <w:right w:val="single" w:sz="4" w:space="0" w:color="auto"/>
            </w:tcBorders>
            <w:vAlign w:val="center"/>
          </w:tcPr>
          <w:p w:rsidR="00F95A18" w:rsidRDefault="008A5E88">
            <w:pPr>
              <w:widowControl/>
              <w:adjustRightInd w:val="0"/>
              <w:spacing w:line="420" w:lineRule="exact"/>
              <w:jc w:val="center"/>
              <w:rPr>
                <w:rFonts w:ascii="宋体" w:hAnsi="宋体" w:cs="宋体"/>
              </w:rPr>
            </w:pPr>
            <w:r>
              <w:rPr>
                <w:rFonts w:ascii="宋体" w:hAnsi="宋体" w:cs="宋体" w:hint="eastAsia"/>
              </w:rPr>
              <w:t>20</w:t>
            </w:r>
          </w:p>
        </w:tc>
      </w:tr>
      <w:tr w:rsidR="00F95A18" w:rsidTr="008A5E88">
        <w:trPr>
          <w:trHeight w:val="1131"/>
          <w:jc w:val="center"/>
        </w:trPr>
        <w:tc>
          <w:tcPr>
            <w:tcW w:w="495" w:type="dxa"/>
            <w:vMerge w:val="restart"/>
            <w:tcBorders>
              <w:left w:val="single" w:sz="4" w:space="0" w:color="auto"/>
              <w:right w:val="single" w:sz="4" w:space="0" w:color="auto"/>
            </w:tcBorders>
            <w:vAlign w:val="center"/>
          </w:tcPr>
          <w:p w:rsidR="00F95A18" w:rsidRDefault="00DE1D7D">
            <w:pPr>
              <w:snapToGrid w:val="0"/>
              <w:jc w:val="center"/>
              <w:rPr>
                <w:rFonts w:ascii="宋体" w:hAnsi="宋体" w:cs="宋体"/>
              </w:rPr>
            </w:pPr>
            <w:r>
              <w:rPr>
                <w:rFonts w:ascii="宋体" w:hAnsi="宋体" w:cs="宋体" w:hint="eastAsia"/>
              </w:rPr>
              <w:t>常规工作</w:t>
            </w:r>
          </w:p>
        </w:tc>
        <w:tc>
          <w:tcPr>
            <w:tcW w:w="510" w:type="dxa"/>
            <w:tcBorders>
              <w:top w:val="single" w:sz="4" w:space="0" w:color="auto"/>
              <w:left w:val="nil"/>
              <w:bottom w:val="single" w:sz="4" w:space="0" w:color="auto"/>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4</w:t>
            </w:r>
          </w:p>
        </w:tc>
        <w:tc>
          <w:tcPr>
            <w:tcW w:w="1073"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深化共青团</w:t>
            </w:r>
          </w:p>
          <w:p w:rsidR="00F95A18" w:rsidRDefault="00DE1D7D">
            <w:pPr>
              <w:widowControl/>
              <w:adjustRightInd w:val="0"/>
              <w:spacing w:line="420" w:lineRule="exact"/>
              <w:jc w:val="center"/>
              <w:rPr>
                <w:rFonts w:ascii="宋体" w:hAnsi="宋体" w:cs="宋体"/>
              </w:rPr>
            </w:pPr>
            <w:r>
              <w:rPr>
                <w:rFonts w:ascii="宋体" w:hAnsi="宋体" w:cs="宋体" w:hint="eastAsia"/>
              </w:rPr>
              <w:t>改革攻坚</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pPr>
            <w:r>
              <w:rPr>
                <w:rFonts w:hint="eastAsia"/>
              </w:rPr>
              <w:t>1.</w:t>
            </w:r>
            <w:r>
              <w:rPr>
                <w:rFonts w:hint="eastAsia"/>
              </w:rPr>
              <w:t>充分利用“第二课堂成绩单”和“智慧团建”系统，落实“五育并举”工作要求，强化第二课堂的结果运用。</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10</w:t>
            </w:r>
          </w:p>
        </w:tc>
        <w:tc>
          <w:tcPr>
            <w:tcW w:w="7088" w:type="dxa"/>
            <w:tcBorders>
              <w:top w:val="single" w:sz="4" w:space="0" w:color="auto"/>
              <w:left w:val="nil"/>
              <w:bottom w:val="single" w:sz="4" w:space="0" w:color="auto"/>
              <w:right w:val="single" w:sz="4" w:space="0" w:color="auto"/>
            </w:tcBorders>
            <w:vAlign w:val="center"/>
          </w:tcPr>
          <w:p w:rsidR="00F95A18" w:rsidRDefault="008A5E88" w:rsidP="008A5E88">
            <w:pPr>
              <w:widowControl/>
              <w:adjustRightInd w:val="0"/>
              <w:spacing w:line="360" w:lineRule="exact"/>
              <w:jc w:val="left"/>
              <w:rPr>
                <w:rFonts w:ascii="宋体" w:hAnsi="宋体" w:cs="宋体"/>
              </w:rPr>
            </w:pPr>
            <w:r w:rsidRPr="008A5E88">
              <w:rPr>
                <w:rFonts w:ascii="Calibri" w:hAnsi="Calibri" w:hint="eastAsia"/>
                <w:kern w:val="2"/>
                <w:szCs w:val="24"/>
              </w:rPr>
              <w:t>结合学生综合素质改革工作要求，广泛开展调研，完善《丽水职业技术学院“第二课堂成绩单”学分认定及实施办法》，在第二课堂成绩单美育模块中，共组织活动</w:t>
            </w:r>
            <w:r w:rsidRPr="008A5E88">
              <w:rPr>
                <w:rFonts w:ascii="Calibri" w:hAnsi="Calibri" w:hint="eastAsia"/>
                <w:kern w:val="2"/>
                <w:szCs w:val="24"/>
              </w:rPr>
              <w:t>1822</w:t>
            </w:r>
            <w:r w:rsidRPr="008A5E88">
              <w:rPr>
                <w:rFonts w:ascii="Calibri" w:hAnsi="Calibri" w:hint="eastAsia"/>
                <w:kern w:val="2"/>
                <w:szCs w:val="24"/>
              </w:rPr>
              <w:t>次，</w:t>
            </w:r>
            <w:r w:rsidRPr="008A5E88">
              <w:rPr>
                <w:rFonts w:ascii="Calibri" w:hAnsi="Calibri" w:hint="eastAsia"/>
                <w:kern w:val="2"/>
                <w:szCs w:val="24"/>
              </w:rPr>
              <w:t>62035</w:t>
            </w:r>
            <w:r w:rsidRPr="008A5E88">
              <w:rPr>
                <w:rFonts w:ascii="Calibri" w:hAnsi="Calibri" w:hint="eastAsia"/>
                <w:kern w:val="2"/>
                <w:szCs w:val="24"/>
              </w:rPr>
              <w:t>人次参加，累计</w:t>
            </w:r>
            <w:r w:rsidRPr="008A5E88">
              <w:rPr>
                <w:rFonts w:ascii="Calibri" w:hAnsi="Calibri" w:hint="eastAsia"/>
                <w:kern w:val="2"/>
                <w:szCs w:val="24"/>
              </w:rPr>
              <w:t>105774</w:t>
            </w:r>
            <w:r w:rsidRPr="008A5E88">
              <w:rPr>
                <w:rFonts w:ascii="Calibri" w:hAnsi="Calibri" w:hint="eastAsia"/>
                <w:kern w:val="2"/>
                <w:szCs w:val="24"/>
              </w:rPr>
              <w:t>活动学时。推进学生社团改革，</w:t>
            </w:r>
            <w:r w:rsidRPr="008A5E88">
              <w:rPr>
                <w:rFonts w:ascii="Calibri" w:hAnsi="Calibri" w:hint="eastAsia"/>
                <w:kern w:val="2"/>
                <w:szCs w:val="24"/>
              </w:rPr>
              <w:t>2023</w:t>
            </w:r>
            <w:r w:rsidRPr="008A5E88">
              <w:rPr>
                <w:rFonts w:ascii="Calibri" w:hAnsi="Calibri" w:hint="eastAsia"/>
                <w:kern w:val="2"/>
                <w:szCs w:val="24"/>
              </w:rPr>
              <w:t>年度学分制社团（工作坊）共计</w:t>
            </w:r>
            <w:r w:rsidRPr="008A5E88">
              <w:rPr>
                <w:rFonts w:ascii="Calibri" w:hAnsi="Calibri" w:hint="eastAsia"/>
                <w:kern w:val="2"/>
                <w:szCs w:val="24"/>
              </w:rPr>
              <w:t>30</w:t>
            </w:r>
            <w:r w:rsidRPr="008A5E88">
              <w:rPr>
                <w:rFonts w:ascii="Calibri" w:hAnsi="Calibri" w:hint="eastAsia"/>
                <w:kern w:val="2"/>
                <w:szCs w:val="24"/>
              </w:rPr>
              <w:t>个，涵盖陶艺、木艺、话剧等美育社团</w:t>
            </w:r>
            <w:r w:rsidRPr="008A5E88">
              <w:rPr>
                <w:rFonts w:ascii="Calibri" w:hAnsi="Calibri" w:hint="eastAsia"/>
                <w:kern w:val="2"/>
                <w:szCs w:val="24"/>
              </w:rPr>
              <w:t>19</w:t>
            </w:r>
            <w:r w:rsidRPr="008A5E88">
              <w:rPr>
                <w:rFonts w:ascii="Calibri" w:hAnsi="Calibri" w:hint="eastAsia"/>
                <w:kern w:val="2"/>
                <w:szCs w:val="24"/>
              </w:rPr>
              <w:t>个，选修学生</w:t>
            </w:r>
            <w:r w:rsidRPr="008A5E88">
              <w:rPr>
                <w:rFonts w:ascii="Calibri" w:hAnsi="Calibri" w:hint="eastAsia"/>
                <w:kern w:val="2"/>
                <w:szCs w:val="24"/>
              </w:rPr>
              <w:t>1130</w:t>
            </w:r>
            <w:r w:rsidRPr="008A5E88">
              <w:rPr>
                <w:rFonts w:ascii="Calibri" w:hAnsi="Calibri" w:hint="eastAsia"/>
                <w:kern w:val="2"/>
                <w:szCs w:val="24"/>
              </w:rPr>
              <w:t>人。</w:t>
            </w:r>
            <w:r>
              <w:rPr>
                <w:rFonts w:ascii="Calibri" w:hAnsi="Calibri" w:hint="eastAsia"/>
                <w:kern w:val="2"/>
                <w:szCs w:val="24"/>
              </w:rPr>
              <w:t>数据对接智慧综合评价，推进学生综合素质评价改革，目前由于系统的局限性，整体数据审核和模块还需进一步调研优化。</w:t>
            </w:r>
          </w:p>
        </w:tc>
        <w:tc>
          <w:tcPr>
            <w:tcW w:w="736"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9</w:t>
            </w:r>
          </w:p>
        </w:tc>
      </w:tr>
      <w:tr w:rsidR="00F95A18" w:rsidTr="008A5E88">
        <w:trPr>
          <w:trHeight w:val="1510"/>
          <w:jc w:val="center"/>
        </w:trPr>
        <w:tc>
          <w:tcPr>
            <w:tcW w:w="495" w:type="dxa"/>
            <w:vMerge/>
            <w:tcBorders>
              <w:left w:val="single" w:sz="4" w:space="0" w:color="auto"/>
              <w:right w:val="single" w:sz="4" w:space="0" w:color="auto"/>
            </w:tcBorders>
            <w:vAlign w:val="center"/>
          </w:tcPr>
          <w:p w:rsidR="00F95A18" w:rsidRDefault="00F95A18">
            <w:pPr>
              <w:snapToGrid w:val="0"/>
              <w:jc w:val="center"/>
              <w:rPr>
                <w:rFonts w:ascii="宋体" w:hAnsi="宋体" w:cs="宋体"/>
              </w:rPr>
            </w:pPr>
          </w:p>
        </w:tc>
        <w:tc>
          <w:tcPr>
            <w:tcW w:w="510" w:type="dxa"/>
            <w:tcBorders>
              <w:top w:val="single" w:sz="4" w:space="0" w:color="auto"/>
              <w:left w:val="nil"/>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5</w:t>
            </w:r>
          </w:p>
        </w:tc>
        <w:tc>
          <w:tcPr>
            <w:tcW w:w="1073" w:type="dxa"/>
            <w:tcBorders>
              <w:top w:val="single" w:sz="4" w:space="0" w:color="auto"/>
              <w:left w:val="nil"/>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加强服务引领，</w:t>
            </w:r>
          </w:p>
          <w:p w:rsidR="00F95A18" w:rsidRDefault="00DE1D7D">
            <w:pPr>
              <w:widowControl/>
              <w:adjustRightInd w:val="0"/>
              <w:spacing w:line="420" w:lineRule="exact"/>
              <w:jc w:val="center"/>
              <w:rPr>
                <w:rFonts w:ascii="宋体" w:hAnsi="宋体" w:cs="宋体"/>
              </w:rPr>
            </w:pPr>
            <w:r>
              <w:rPr>
                <w:rFonts w:ascii="宋体" w:hAnsi="宋体" w:cs="宋体" w:hint="eastAsia"/>
              </w:rPr>
              <w:t>开展创新实践活动</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pPr>
            <w:r>
              <w:rPr>
                <w:rFonts w:hint="eastAsia"/>
              </w:rPr>
              <w:t>1.</w:t>
            </w:r>
            <w:r>
              <w:rPr>
                <w:rFonts w:hint="eastAsia"/>
              </w:rPr>
              <w:t>深入开展暑期“三下乡”社会实践活动，组织学生深入基层开展政企实践、实地调研、红色寻访、文化宣讲、志愿服务等活动，持续探索社会实践与育人工作相结</w:t>
            </w:r>
            <w:r>
              <w:rPr>
                <w:rFonts w:hint="eastAsia"/>
              </w:rPr>
              <w:lastRenderedPageBreak/>
              <w:t>合。</w:t>
            </w:r>
          </w:p>
          <w:p w:rsidR="00F95A18" w:rsidRDefault="00DE1D7D">
            <w:pPr>
              <w:widowControl/>
              <w:adjustRightInd w:val="0"/>
              <w:spacing w:line="420" w:lineRule="exact"/>
              <w:jc w:val="left"/>
            </w:pPr>
            <w:r>
              <w:rPr>
                <w:rFonts w:hint="eastAsia"/>
              </w:rPr>
              <w:t>2.</w:t>
            </w:r>
            <w:r>
              <w:rPr>
                <w:rFonts w:hint="eastAsia"/>
              </w:rPr>
              <w:t>依托“挑战杯”、“新苗计划”等活动载体，激发青年的创新智慧、创业激情和创优动力。</w:t>
            </w:r>
          </w:p>
          <w:p w:rsidR="00F95A18" w:rsidRDefault="00DE1D7D">
            <w:pPr>
              <w:widowControl/>
              <w:adjustRightInd w:val="0"/>
              <w:spacing w:line="420" w:lineRule="exact"/>
              <w:jc w:val="left"/>
            </w:pPr>
            <w:r>
              <w:rPr>
                <w:rFonts w:hint="eastAsia"/>
              </w:rPr>
              <w:t>3.</w:t>
            </w:r>
            <w:r>
              <w:rPr>
                <w:rFonts w:ascii="宋体" w:hAnsi="宋体" w:cs="宋体" w:hint="eastAsia"/>
              </w:rPr>
              <w:t>着力提升“青马工程”培养实效，助推“青马工程”与“推优入党”工作的有机衔接。</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lastRenderedPageBreak/>
              <w:t>20</w:t>
            </w:r>
          </w:p>
        </w:tc>
        <w:tc>
          <w:tcPr>
            <w:tcW w:w="7088" w:type="dxa"/>
            <w:tcBorders>
              <w:top w:val="single" w:sz="4" w:space="0" w:color="auto"/>
              <w:left w:val="nil"/>
              <w:bottom w:val="single" w:sz="4" w:space="0" w:color="auto"/>
              <w:right w:val="single" w:sz="4" w:space="0" w:color="auto"/>
            </w:tcBorders>
            <w:vAlign w:val="center"/>
          </w:tcPr>
          <w:p w:rsidR="008A5E88" w:rsidRDefault="008A5E88" w:rsidP="008A5E88">
            <w:pPr>
              <w:pStyle w:val="a6"/>
              <w:widowControl/>
              <w:numPr>
                <w:ilvl w:val="0"/>
                <w:numId w:val="3"/>
              </w:numPr>
              <w:adjustRightInd w:val="0"/>
              <w:spacing w:line="360" w:lineRule="exact"/>
              <w:ind w:left="-20" w:firstLineChars="0" w:firstLine="20"/>
              <w:jc w:val="left"/>
              <w:rPr>
                <w:rFonts w:ascii="宋体" w:hAnsi="宋体" w:cs="宋体"/>
              </w:rPr>
            </w:pPr>
            <w:r w:rsidRPr="008A5E88">
              <w:rPr>
                <w:rFonts w:ascii="宋体" w:hAnsi="宋体" w:cs="宋体" w:hint="eastAsia"/>
              </w:rPr>
              <w:t>以“返家乡”、“双百双进”、“三下乡”寒暑假社会实践活动为重点，组织39支实践团队，1支队伍入选大学生“三下乡”全国示范团队、1支队伍获浙江省暑期社会实践风采展调研报告二等奖，2支队伍入选浙江省关工委“红船领航”暑期社会实践展。1人获大学生“三下乡”暑期社会实践全国先进个人。</w:t>
            </w:r>
          </w:p>
          <w:p w:rsidR="008A5E88" w:rsidRDefault="008A5E88" w:rsidP="008A5E88">
            <w:pPr>
              <w:pStyle w:val="a6"/>
              <w:widowControl/>
              <w:numPr>
                <w:ilvl w:val="0"/>
                <w:numId w:val="3"/>
              </w:numPr>
              <w:adjustRightInd w:val="0"/>
              <w:spacing w:line="360" w:lineRule="exact"/>
              <w:ind w:left="0" w:firstLineChars="0" w:firstLine="0"/>
              <w:jc w:val="left"/>
              <w:rPr>
                <w:rFonts w:ascii="宋体" w:hAnsi="宋体" w:cs="宋体"/>
              </w:rPr>
            </w:pPr>
            <w:r w:rsidRPr="008A5E88">
              <w:rPr>
                <w:rFonts w:ascii="宋体" w:hAnsi="宋体" w:cs="宋体" w:hint="eastAsia"/>
              </w:rPr>
              <w:t>以“挑战杯”“新苗人才计划”、地方赛事等为抓手，点对点培育重点</w:t>
            </w:r>
            <w:r w:rsidRPr="008A5E88">
              <w:rPr>
                <w:rFonts w:ascii="宋体" w:hAnsi="宋体" w:cs="宋体" w:hint="eastAsia"/>
              </w:rPr>
              <w:lastRenderedPageBreak/>
              <w:t>项目，紧密跟踪比赛动态，全方位服务备赛，营造了良好的创新创业氛围。获浙江省第十八届“挑战杯”大学生课外学术科技作品竞赛铜奖1项，浙江省青年职业技能竞赛专项赛铜奖1项。新苗人才科技项目立项2项、结题3项。开展好“共青团促进大学生就业行动”，结对帮扶50名就业困难学生。</w:t>
            </w:r>
          </w:p>
          <w:p w:rsidR="008A5E88" w:rsidRPr="008A5E88" w:rsidRDefault="008A5E88" w:rsidP="008A5E88">
            <w:pPr>
              <w:pStyle w:val="a6"/>
              <w:widowControl/>
              <w:numPr>
                <w:ilvl w:val="0"/>
                <w:numId w:val="3"/>
              </w:numPr>
              <w:adjustRightInd w:val="0"/>
              <w:spacing w:line="360" w:lineRule="exact"/>
              <w:ind w:left="0" w:firstLineChars="0" w:firstLine="0"/>
              <w:jc w:val="left"/>
              <w:rPr>
                <w:rFonts w:ascii="宋体" w:hAnsi="宋体" w:cs="宋体"/>
              </w:rPr>
            </w:pPr>
            <w:r w:rsidRPr="008A5E88">
              <w:rPr>
                <w:rFonts w:ascii="宋体" w:hAnsi="宋体" w:cs="宋体" w:hint="eastAsia"/>
              </w:rPr>
              <w:t>充分发挥“青马工程”、“卓越计划”等学生骨干培养工程的阵地作用，组织青马学员赴丽水市经济开发区展览馆、大港头镇堰头村、丽水鱼跃等校外基地开展实践调研，开展各类专题培训40余场，培养学生骨干450余人，选拔推荐13名学生参加浙江省新世纪人才学院丽水分院学习，1名学生成功入选“浙江省青马工程”学员。2023年全校发展团员156人，推优入党161人。</w:t>
            </w:r>
          </w:p>
        </w:tc>
        <w:tc>
          <w:tcPr>
            <w:tcW w:w="736" w:type="dxa"/>
            <w:tcBorders>
              <w:top w:val="single" w:sz="4" w:space="0" w:color="auto"/>
              <w:left w:val="nil"/>
              <w:bottom w:val="single" w:sz="4" w:space="0" w:color="auto"/>
              <w:right w:val="single" w:sz="4" w:space="0" w:color="auto"/>
            </w:tcBorders>
            <w:vAlign w:val="center"/>
          </w:tcPr>
          <w:p w:rsidR="00F95A18" w:rsidRDefault="008A5E88">
            <w:pPr>
              <w:widowControl/>
              <w:adjustRightInd w:val="0"/>
              <w:spacing w:line="420" w:lineRule="exact"/>
              <w:jc w:val="center"/>
              <w:rPr>
                <w:rFonts w:ascii="宋体" w:hAnsi="宋体" w:cs="宋体"/>
              </w:rPr>
            </w:pPr>
            <w:r>
              <w:rPr>
                <w:rFonts w:ascii="宋体" w:hAnsi="宋体" w:cs="宋体" w:hint="eastAsia"/>
              </w:rPr>
              <w:lastRenderedPageBreak/>
              <w:t>20</w:t>
            </w:r>
          </w:p>
        </w:tc>
      </w:tr>
      <w:tr w:rsidR="00F95A18" w:rsidTr="008A5E88">
        <w:trPr>
          <w:trHeight w:val="738"/>
          <w:jc w:val="center"/>
        </w:trPr>
        <w:tc>
          <w:tcPr>
            <w:tcW w:w="495" w:type="dxa"/>
            <w:vMerge/>
            <w:tcBorders>
              <w:left w:val="single" w:sz="4" w:space="0" w:color="auto"/>
              <w:bottom w:val="single" w:sz="4" w:space="0" w:color="auto"/>
              <w:right w:val="single" w:sz="4" w:space="0" w:color="auto"/>
            </w:tcBorders>
            <w:vAlign w:val="center"/>
          </w:tcPr>
          <w:p w:rsidR="00F95A18" w:rsidRDefault="00F95A18">
            <w:pPr>
              <w:widowControl/>
              <w:jc w:val="left"/>
              <w:rPr>
                <w:rFonts w:ascii="宋体" w:hAnsi="宋体" w:cs="宋体"/>
              </w:rPr>
            </w:pPr>
          </w:p>
        </w:tc>
        <w:tc>
          <w:tcPr>
            <w:tcW w:w="510" w:type="dxa"/>
            <w:tcBorders>
              <w:top w:val="single" w:sz="4" w:space="0" w:color="auto"/>
              <w:left w:val="nil"/>
              <w:bottom w:val="single" w:sz="4" w:space="0" w:color="auto"/>
              <w:right w:val="single" w:sz="4" w:space="0" w:color="auto"/>
            </w:tcBorders>
            <w:vAlign w:val="center"/>
          </w:tcPr>
          <w:p w:rsidR="00F95A18" w:rsidRDefault="00DE1D7D">
            <w:pPr>
              <w:spacing w:line="440" w:lineRule="exact"/>
              <w:jc w:val="center"/>
              <w:rPr>
                <w:rFonts w:ascii="宋体" w:hAnsi="宋体" w:cs="宋体"/>
              </w:rPr>
            </w:pPr>
            <w:r>
              <w:rPr>
                <w:rFonts w:ascii="宋体" w:hAnsi="宋体" w:cs="宋体" w:hint="eastAsia"/>
              </w:rPr>
              <w:t>6</w:t>
            </w:r>
          </w:p>
        </w:tc>
        <w:tc>
          <w:tcPr>
            <w:tcW w:w="1073"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做好宣传文化工作</w:t>
            </w:r>
          </w:p>
        </w:tc>
        <w:tc>
          <w:tcPr>
            <w:tcW w:w="3260"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left"/>
              <w:rPr>
                <w:rFonts w:ascii="宋体" w:hAnsi="宋体" w:cs="宋体"/>
              </w:rPr>
            </w:pPr>
            <w:r>
              <w:rPr>
                <w:rFonts w:ascii="宋体" w:hAnsi="宋体" w:cs="宋体"/>
              </w:rPr>
              <w:t>在各类团属媒体</w:t>
            </w:r>
            <w:r>
              <w:rPr>
                <w:rFonts w:ascii="宋体" w:hAnsi="宋体" w:cs="宋体" w:hint="eastAsia"/>
              </w:rPr>
              <w:t>、</w:t>
            </w:r>
            <w:r>
              <w:rPr>
                <w:rFonts w:ascii="宋体" w:hAnsi="宋体" w:cs="宋体"/>
              </w:rPr>
              <w:t>平台开展专题专栏</w:t>
            </w:r>
            <w:r>
              <w:rPr>
                <w:rFonts w:ascii="宋体" w:hAnsi="宋体" w:cs="宋体" w:hint="eastAsia"/>
              </w:rPr>
              <w:t>宣传</w:t>
            </w:r>
            <w:r>
              <w:rPr>
                <w:rFonts w:ascii="宋体" w:hAnsi="宋体" w:cs="宋体"/>
              </w:rPr>
              <w:t>、网络话题讨论等，多维度、立体化、有节奏地</w:t>
            </w:r>
            <w:r>
              <w:rPr>
                <w:rFonts w:ascii="宋体" w:hAnsi="宋体" w:cs="宋体" w:hint="eastAsia"/>
              </w:rPr>
              <w:t>传播党的主张、推动团的工作,反映我校青年风貌</w:t>
            </w:r>
            <w:r>
              <w:rPr>
                <w:rFonts w:ascii="宋体" w:hAnsi="宋体" w:cs="宋体"/>
              </w:rPr>
              <w:t>。</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420" w:lineRule="exact"/>
              <w:jc w:val="center"/>
              <w:rPr>
                <w:rFonts w:ascii="宋体" w:hAnsi="宋体" w:cs="宋体"/>
              </w:rPr>
            </w:pPr>
            <w:r>
              <w:rPr>
                <w:rFonts w:ascii="宋体" w:hAnsi="宋体" w:cs="宋体" w:hint="eastAsia"/>
              </w:rPr>
              <w:t>10</w:t>
            </w:r>
          </w:p>
        </w:tc>
        <w:tc>
          <w:tcPr>
            <w:tcW w:w="7088" w:type="dxa"/>
            <w:tcBorders>
              <w:top w:val="single" w:sz="4" w:space="0" w:color="auto"/>
              <w:left w:val="nil"/>
              <w:bottom w:val="single" w:sz="4" w:space="0" w:color="auto"/>
              <w:right w:val="single" w:sz="4" w:space="0" w:color="auto"/>
            </w:tcBorders>
            <w:vAlign w:val="center"/>
          </w:tcPr>
          <w:p w:rsidR="00F95A18" w:rsidRDefault="008A5E88" w:rsidP="008A5E88">
            <w:pPr>
              <w:widowControl/>
              <w:adjustRightInd w:val="0"/>
              <w:spacing w:line="420" w:lineRule="exact"/>
              <w:jc w:val="left"/>
              <w:rPr>
                <w:rFonts w:ascii="宋体" w:hAnsi="宋体" w:cs="宋体"/>
              </w:rPr>
            </w:pPr>
            <w:r w:rsidRPr="008A5E88">
              <w:rPr>
                <w:rFonts w:ascii="宋体" w:hAnsi="宋体" w:cs="宋体" w:hint="eastAsia"/>
              </w:rPr>
              <w:t>通过“青年大学习”、“浙里潮音”、团委宣传栏等载体牢固树立意识形态工作在团员青年中的极端重要地位，掌握学校各级团属媒体平台运营管理状况。依托新媒体平台“丽职新青年”，发挥网络阵地作用，不断丰富兼具引领力和青年性的高质量网络文化产品供给，研发、汇集、推广优秀原创内容产品200余件，累计阅读量逾十万。</w:t>
            </w:r>
            <w:r>
              <w:rPr>
                <w:rFonts w:ascii="宋体" w:hAnsi="宋体" w:cs="宋体" w:hint="eastAsia"/>
              </w:rPr>
              <w:t>宣传形式目前局限在“丽职新青年”公众号，公众号整体板块内容单一，原创文章质量不高，新媒体工作队伍力量薄弱。</w:t>
            </w:r>
          </w:p>
        </w:tc>
        <w:tc>
          <w:tcPr>
            <w:tcW w:w="736" w:type="dxa"/>
            <w:tcBorders>
              <w:top w:val="single" w:sz="4" w:space="0" w:color="auto"/>
              <w:left w:val="nil"/>
              <w:bottom w:val="single" w:sz="4" w:space="0" w:color="auto"/>
              <w:right w:val="single" w:sz="4" w:space="0" w:color="auto"/>
            </w:tcBorders>
            <w:vAlign w:val="center"/>
          </w:tcPr>
          <w:p w:rsidR="00F95A18" w:rsidRDefault="008A5E88" w:rsidP="008A5E88">
            <w:pPr>
              <w:widowControl/>
              <w:adjustRightInd w:val="0"/>
              <w:spacing w:line="420" w:lineRule="exact"/>
              <w:jc w:val="center"/>
              <w:rPr>
                <w:rFonts w:ascii="宋体" w:hAnsi="宋体" w:cs="宋体"/>
              </w:rPr>
            </w:pPr>
            <w:r>
              <w:rPr>
                <w:rFonts w:ascii="宋体" w:hAnsi="宋体" w:cs="宋体" w:hint="eastAsia"/>
              </w:rPr>
              <w:t>9</w:t>
            </w:r>
          </w:p>
        </w:tc>
      </w:tr>
      <w:tr w:rsidR="00F95A18" w:rsidTr="008A5E88">
        <w:trPr>
          <w:trHeight w:val="123"/>
          <w:jc w:val="center"/>
        </w:trPr>
        <w:tc>
          <w:tcPr>
            <w:tcW w:w="5338" w:type="dxa"/>
            <w:gridSpan w:val="4"/>
            <w:tcBorders>
              <w:top w:val="single" w:sz="4" w:space="0" w:color="auto"/>
              <w:left w:val="single" w:sz="4" w:space="0" w:color="auto"/>
              <w:bottom w:val="single" w:sz="4" w:space="0" w:color="auto"/>
              <w:right w:val="single" w:sz="4" w:space="0" w:color="auto"/>
            </w:tcBorders>
            <w:vAlign w:val="center"/>
          </w:tcPr>
          <w:p w:rsidR="00F95A18" w:rsidRDefault="00DE1D7D">
            <w:pPr>
              <w:widowControl/>
              <w:adjustRightInd w:val="0"/>
              <w:spacing w:line="360" w:lineRule="auto"/>
              <w:jc w:val="center"/>
              <w:rPr>
                <w:rFonts w:ascii="宋体" w:hAnsi="宋体" w:cs="宋体"/>
              </w:rPr>
            </w:pPr>
            <w:r>
              <w:rPr>
                <w:rFonts w:ascii="宋体" w:hAnsi="宋体" w:cs="宋体" w:hint="eastAsia"/>
              </w:rPr>
              <w:t>合   计</w:t>
            </w:r>
          </w:p>
        </w:tc>
        <w:tc>
          <w:tcPr>
            <w:tcW w:w="567" w:type="dxa"/>
            <w:tcBorders>
              <w:top w:val="single" w:sz="4" w:space="0" w:color="auto"/>
              <w:left w:val="nil"/>
              <w:bottom w:val="single" w:sz="4" w:space="0" w:color="auto"/>
              <w:right w:val="single" w:sz="4" w:space="0" w:color="auto"/>
            </w:tcBorders>
            <w:vAlign w:val="center"/>
          </w:tcPr>
          <w:p w:rsidR="00F95A18" w:rsidRDefault="00DE1D7D">
            <w:pPr>
              <w:widowControl/>
              <w:adjustRightInd w:val="0"/>
              <w:spacing w:line="360" w:lineRule="auto"/>
              <w:jc w:val="center"/>
              <w:rPr>
                <w:rFonts w:ascii="宋体" w:hAnsi="宋体" w:cs="宋体"/>
              </w:rPr>
            </w:pPr>
            <w:r>
              <w:rPr>
                <w:rFonts w:ascii="宋体" w:hAnsi="宋体" w:cs="宋体" w:hint="eastAsia"/>
              </w:rPr>
              <w:t>100</w:t>
            </w:r>
          </w:p>
        </w:tc>
        <w:tc>
          <w:tcPr>
            <w:tcW w:w="7088" w:type="dxa"/>
            <w:tcBorders>
              <w:top w:val="single" w:sz="4" w:space="0" w:color="auto"/>
              <w:left w:val="nil"/>
              <w:bottom w:val="single" w:sz="4" w:space="0" w:color="auto"/>
              <w:right w:val="single" w:sz="4" w:space="0" w:color="auto"/>
            </w:tcBorders>
            <w:vAlign w:val="center"/>
          </w:tcPr>
          <w:p w:rsidR="00F95A18" w:rsidRDefault="00F95A18">
            <w:pPr>
              <w:widowControl/>
              <w:adjustRightInd w:val="0"/>
              <w:spacing w:line="360" w:lineRule="auto"/>
              <w:jc w:val="center"/>
              <w:rPr>
                <w:rFonts w:ascii="宋体" w:hAnsi="宋体" w:cs="宋体"/>
              </w:rPr>
            </w:pPr>
          </w:p>
        </w:tc>
        <w:tc>
          <w:tcPr>
            <w:tcW w:w="736" w:type="dxa"/>
            <w:tcBorders>
              <w:top w:val="single" w:sz="4" w:space="0" w:color="auto"/>
              <w:left w:val="nil"/>
              <w:bottom w:val="single" w:sz="4" w:space="0" w:color="auto"/>
              <w:right w:val="single" w:sz="4" w:space="0" w:color="auto"/>
            </w:tcBorders>
            <w:vAlign w:val="center"/>
          </w:tcPr>
          <w:p w:rsidR="00F95A18" w:rsidRDefault="008A5E88">
            <w:pPr>
              <w:widowControl/>
              <w:adjustRightInd w:val="0"/>
              <w:spacing w:line="360" w:lineRule="auto"/>
              <w:jc w:val="center"/>
              <w:rPr>
                <w:rFonts w:ascii="宋体" w:hAnsi="宋体" w:cs="宋体"/>
              </w:rPr>
            </w:pPr>
            <w:r>
              <w:rPr>
                <w:rFonts w:ascii="宋体" w:hAnsi="宋体" w:cs="宋体" w:hint="eastAsia"/>
              </w:rPr>
              <w:t>98</w:t>
            </w:r>
          </w:p>
        </w:tc>
      </w:tr>
    </w:tbl>
    <w:p w:rsidR="00F95A18" w:rsidRDefault="00F95A18">
      <w:pPr>
        <w:widowControl/>
        <w:jc w:val="left"/>
      </w:pPr>
    </w:p>
    <w:sectPr w:rsidR="00F95A18" w:rsidSect="00DE1D7D">
      <w:pgSz w:w="16838" w:h="11906" w:orient="landscape"/>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24E7"/>
    <w:multiLevelType w:val="hybridMultilevel"/>
    <w:tmpl w:val="EEA6DC84"/>
    <w:lvl w:ilvl="0" w:tplc="6142BF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027CC1"/>
    <w:multiLevelType w:val="hybridMultilevel"/>
    <w:tmpl w:val="FF9A739C"/>
    <w:lvl w:ilvl="0" w:tplc="3C283F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BCC18E9"/>
    <w:multiLevelType w:val="hybridMultilevel"/>
    <w:tmpl w:val="463A8E7C"/>
    <w:lvl w:ilvl="0" w:tplc="73CA76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MGZjNjRhNTM3OTY1YWFhMDYxZDRjZWFhY2NlZDQifQ=="/>
  </w:docVars>
  <w:rsids>
    <w:rsidRoot w:val="00F95A18"/>
    <w:rsid w:val="0060155A"/>
    <w:rsid w:val="008A5E88"/>
    <w:rsid w:val="00DE1D7D"/>
    <w:rsid w:val="00F95A18"/>
    <w:rsid w:val="01D05B75"/>
    <w:rsid w:val="1D3573A6"/>
    <w:rsid w:val="21DB609A"/>
    <w:rsid w:val="285C751F"/>
    <w:rsid w:val="2F1A51D6"/>
    <w:rsid w:val="313F47A6"/>
    <w:rsid w:val="42F35F13"/>
    <w:rsid w:val="50087E44"/>
    <w:rsid w:val="621E47D4"/>
    <w:rsid w:val="63A41419"/>
    <w:rsid w:val="7C6A0EE0"/>
    <w:rsid w:val="7F2D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rPr>
      <w:rFonts w:ascii="Calibri" w:hAnsi="Calibri"/>
      <w:kern w:val="2"/>
      <w:szCs w:val="24"/>
    </w:rPr>
  </w:style>
  <w:style w:type="paragraph" w:styleId="a3">
    <w:name w:val="Body Text Indent"/>
    <w:basedOn w:val="a"/>
    <w:qFormat/>
    <w:pPr>
      <w:spacing w:after="120"/>
      <w:ind w:leftChars="200" w:left="420"/>
    </w:pPr>
  </w:style>
  <w:style w:type="paragraph" w:styleId="a4">
    <w:name w:val="Normal (Web)"/>
    <w:basedOn w:val="a"/>
    <w:qFormat/>
    <w:pPr>
      <w:spacing w:beforeAutospacing="1" w:afterAutospacing="1"/>
      <w:jc w:val="left"/>
    </w:pPr>
    <w:rPr>
      <w:sz w:val="24"/>
    </w:rPr>
  </w:style>
  <w:style w:type="character" w:styleId="a5">
    <w:name w:val="Strong"/>
    <w:basedOn w:val="a0"/>
    <w:qFormat/>
    <w:rPr>
      <w:b/>
    </w:rPr>
  </w:style>
  <w:style w:type="paragraph" w:styleId="a6">
    <w:name w:val="List Paragraph"/>
    <w:basedOn w:val="a"/>
    <w:uiPriority w:val="99"/>
    <w:unhideWhenUsed/>
    <w:rsid w:val="00DE1D7D"/>
    <w:pPr>
      <w:ind w:firstLineChars="200" w:firstLine="420"/>
    </w:pPr>
  </w:style>
  <w:style w:type="paragraph" w:styleId="a7">
    <w:name w:val="Balloon Text"/>
    <w:basedOn w:val="a"/>
    <w:link w:val="Char"/>
    <w:rsid w:val="0060155A"/>
    <w:rPr>
      <w:sz w:val="18"/>
      <w:szCs w:val="18"/>
    </w:rPr>
  </w:style>
  <w:style w:type="character" w:customStyle="1" w:styleId="Char">
    <w:name w:val="批注框文本 Char"/>
    <w:basedOn w:val="a0"/>
    <w:link w:val="a7"/>
    <w:rsid w:val="0060155A"/>
    <w:rPr>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rPr>
      <w:rFonts w:ascii="Calibri" w:hAnsi="Calibri"/>
      <w:kern w:val="2"/>
      <w:szCs w:val="24"/>
    </w:rPr>
  </w:style>
  <w:style w:type="paragraph" w:styleId="a3">
    <w:name w:val="Body Text Indent"/>
    <w:basedOn w:val="a"/>
    <w:qFormat/>
    <w:pPr>
      <w:spacing w:after="120"/>
      <w:ind w:leftChars="200" w:left="420"/>
    </w:pPr>
  </w:style>
  <w:style w:type="paragraph" w:styleId="a4">
    <w:name w:val="Normal (Web)"/>
    <w:basedOn w:val="a"/>
    <w:qFormat/>
    <w:pPr>
      <w:spacing w:beforeAutospacing="1" w:afterAutospacing="1"/>
      <w:jc w:val="left"/>
    </w:pPr>
    <w:rPr>
      <w:sz w:val="24"/>
    </w:rPr>
  </w:style>
  <w:style w:type="character" w:styleId="a5">
    <w:name w:val="Strong"/>
    <w:basedOn w:val="a0"/>
    <w:qFormat/>
    <w:rPr>
      <w:b/>
    </w:rPr>
  </w:style>
  <w:style w:type="paragraph" w:styleId="a6">
    <w:name w:val="List Paragraph"/>
    <w:basedOn w:val="a"/>
    <w:uiPriority w:val="99"/>
    <w:unhideWhenUsed/>
    <w:rsid w:val="00DE1D7D"/>
    <w:pPr>
      <w:ind w:firstLineChars="200" w:firstLine="420"/>
    </w:pPr>
  </w:style>
  <w:style w:type="paragraph" w:styleId="a7">
    <w:name w:val="Balloon Text"/>
    <w:basedOn w:val="a"/>
    <w:link w:val="Char"/>
    <w:rsid w:val="0060155A"/>
    <w:rPr>
      <w:sz w:val="18"/>
      <w:szCs w:val="18"/>
    </w:rPr>
  </w:style>
  <w:style w:type="character" w:customStyle="1" w:styleId="Char">
    <w:name w:val="批注框文本 Char"/>
    <w:basedOn w:val="a0"/>
    <w:link w:val="a7"/>
    <w:rsid w:val="0060155A"/>
    <w:rPr>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lszjy032</dc:creator>
  <cp:lastModifiedBy>xb21cn</cp:lastModifiedBy>
  <cp:revision>4</cp:revision>
  <cp:lastPrinted>2024-01-16T00:49:00Z</cp:lastPrinted>
  <dcterms:created xsi:type="dcterms:W3CDTF">2014-10-29T12:08:00Z</dcterms:created>
  <dcterms:modified xsi:type="dcterms:W3CDTF">2024-01-16T02:53:00Z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2052-11.8.2.8876</vt:lpwstr>
  </property>
  <property fmtid="{D5CDD505-2E9C-101B-9397-08002B2CF9AE}" pid="3" name="ICV">
    <vt:lpwstr>DAA29A5DB19D4A36B8E9F4A959DE83BB</vt:lpwstr>
  </property>
</Properties>
</file>