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40" w:firstLineChars="200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计划财务处</w:t>
      </w:r>
    </w:p>
    <w:p>
      <w:pPr>
        <w:spacing w:line="560" w:lineRule="exact"/>
        <w:ind w:firstLine="640" w:firstLineChars="200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sz w:val="32"/>
          <w:szCs w:val="32"/>
        </w:rPr>
        <w:t>年目标责任制考核工作目标与任务自评表</w:t>
      </w:r>
      <w:bookmarkStart w:id="0" w:name="_GoBack"/>
      <w:bookmarkEnd w:id="0"/>
    </w:p>
    <w:p>
      <w:pPr>
        <w:pStyle w:val="7"/>
      </w:pPr>
    </w:p>
    <w:tbl>
      <w:tblPr>
        <w:tblStyle w:val="8"/>
        <w:tblpPr w:leftFromText="180" w:rightFromText="180" w:vertAnchor="text" w:horzAnchor="margin" w:tblpXSpec="center" w:tblpY="160"/>
        <w:tblW w:w="96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567"/>
        <w:gridCol w:w="1278"/>
        <w:gridCol w:w="4963"/>
        <w:gridCol w:w="680"/>
        <w:gridCol w:w="593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</w:rPr>
            </w:pPr>
            <w:r>
              <w:rPr>
                <w:rFonts w:hint="eastAsia" w:asciiTheme="minorEastAsia" w:hAnsiTheme="minorEastAsia" w:eastAsiaTheme="minorEastAsia"/>
                <w:b/>
                <w:kern w:val="2"/>
              </w:rPr>
              <w:t>类别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</w:rPr>
            </w:pPr>
            <w:r>
              <w:rPr>
                <w:rFonts w:hint="eastAsia" w:asciiTheme="minorEastAsia" w:hAnsiTheme="minorEastAsia" w:eastAsiaTheme="minorEastAsia"/>
                <w:b/>
                <w:kern w:val="2"/>
              </w:rPr>
              <w:t>序号</w:t>
            </w:r>
          </w:p>
        </w:tc>
        <w:tc>
          <w:tcPr>
            <w:tcW w:w="127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</w:rPr>
            </w:pPr>
            <w:r>
              <w:rPr>
                <w:rFonts w:hint="eastAsia" w:asciiTheme="minorEastAsia" w:hAnsiTheme="minorEastAsia" w:eastAsiaTheme="minorEastAsia"/>
                <w:b/>
                <w:kern w:val="2"/>
              </w:rPr>
              <w:t>职责或项目</w:t>
            </w:r>
          </w:p>
        </w:tc>
        <w:tc>
          <w:tcPr>
            <w:tcW w:w="4963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</w:rPr>
            </w:pPr>
            <w:r>
              <w:rPr>
                <w:rFonts w:hint="eastAsia" w:asciiTheme="minorEastAsia" w:hAnsiTheme="minorEastAsia" w:eastAsiaTheme="minorEastAsia"/>
                <w:b/>
                <w:kern w:val="2"/>
              </w:rPr>
              <w:t>具体目标、任务及措施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</w:rPr>
            </w:pPr>
            <w:r>
              <w:rPr>
                <w:rFonts w:hint="eastAsia" w:asciiTheme="minorEastAsia" w:hAnsiTheme="minorEastAsia" w:eastAsiaTheme="minorEastAsia"/>
                <w:b/>
                <w:kern w:val="2"/>
              </w:rPr>
              <w:t>分值</w:t>
            </w:r>
          </w:p>
        </w:tc>
        <w:tc>
          <w:tcPr>
            <w:tcW w:w="593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完成</w:t>
            </w:r>
          </w:p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情况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自评</w:t>
            </w:r>
          </w:p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2"/>
              </w:rPr>
            </w:pPr>
            <w:r>
              <w:rPr>
                <w:rFonts w:hint="eastAsia" w:asciiTheme="minorEastAsia" w:hAnsiTheme="minorEastAsia" w:eastAsiaTheme="minorEastAsia"/>
                <w:kern w:val="2"/>
              </w:rPr>
              <w:t>突破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/>
                <w:kern w:val="2"/>
              </w:rPr>
              <w:t>工作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/>
                <w:kern w:val="2"/>
              </w:rPr>
              <w:t>1</w:t>
            </w:r>
          </w:p>
        </w:tc>
        <w:tc>
          <w:tcPr>
            <w:tcW w:w="1278" w:type="dxa"/>
            <w:vAlign w:val="center"/>
          </w:tcPr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预算一体化管理</w:t>
            </w:r>
          </w:p>
        </w:tc>
        <w:tc>
          <w:tcPr>
            <w:tcW w:w="4963" w:type="dxa"/>
            <w:vAlign w:val="top"/>
          </w:tcPr>
          <w:p>
            <w:pPr>
              <w:pStyle w:val="12"/>
              <w:spacing w:line="276" w:lineRule="auto"/>
              <w:ind w:firstLine="0" w:firstLineChars="0"/>
              <w:rPr>
                <w:kern w:val="2"/>
              </w:rPr>
            </w:pPr>
            <w:r>
              <w:rPr>
                <w:rFonts w:hint="eastAsia"/>
                <w:kern w:val="2"/>
              </w:rPr>
              <w:t>加强</w:t>
            </w:r>
            <w:r>
              <w:rPr>
                <w:kern w:val="2"/>
              </w:rPr>
              <w:t>预算一体化</w:t>
            </w:r>
            <w:r>
              <w:rPr>
                <w:rFonts w:hint="eastAsia"/>
                <w:kern w:val="2"/>
              </w:rPr>
              <w:t>系统的管理，实时监控学校除科研以外资金去向及结余；</w:t>
            </w:r>
          </w:p>
          <w:p>
            <w:pPr>
              <w:pStyle w:val="12"/>
              <w:spacing w:line="276" w:lineRule="auto"/>
              <w:ind w:firstLine="0" w:firstLineChars="0"/>
              <w:rPr>
                <w:kern w:val="2"/>
              </w:rPr>
            </w:pPr>
            <w:r>
              <w:rPr>
                <w:rFonts w:hint="eastAsia"/>
                <w:kern w:val="2"/>
              </w:rPr>
              <w:t>1.其他资金统一纳入预算一体化管理（</w:t>
            </w:r>
            <w:r>
              <w:rPr>
                <w:kern w:val="2"/>
              </w:rPr>
              <w:t>10</w:t>
            </w:r>
            <w:r>
              <w:rPr>
                <w:rFonts w:hint="eastAsia"/>
                <w:kern w:val="2"/>
              </w:rPr>
              <w:t>）</w:t>
            </w:r>
          </w:p>
          <w:p>
            <w:pPr>
              <w:pStyle w:val="12"/>
              <w:spacing w:line="276" w:lineRule="auto"/>
              <w:ind w:firstLine="0" w:firstLineChars="0"/>
              <w:rPr>
                <w:kern w:val="2"/>
              </w:rPr>
            </w:pPr>
            <w:r>
              <w:rPr>
                <w:rFonts w:hint="eastAsia"/>
                <w:kern w:val="2"/>
              </w:rPr>
              <w:t>2.按要求进行预算一体化的财务核算（10）</w:t>
            </w:r>
          </w:p>
        </w:tc>
        <w:tc>
          <w:tcPr>
            <w:tcW w:w="68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  <w:kern w:val="2"/>
              </w:rPr>
              <w:t>20</w:t>
            </w:r>
          </w:p>
        </w:tc>
        <w:tc>
          <w:tcPr>
            <w:tcW w:w="593" w:type="dxa"/>
          </w:tcPr>
          <w:p>
            <w:pPr>
              <w:pStyle w:val="12"/>
              <w:spacing w:line="0" w:lineRule="atLeast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部分完成</w:t>
            </w:r>
          </w:p>
        </w:tc>
        <w:tc>
          <w:tcPr>
            <w:tcW w:w="851" w:type="dxa"/>
          </w:tcPr>
          <w:p>
            <w:pPr>
              <w:pStyle w:val="12"/>
              <w:spacing w:line="0" w:lineRule="atLeas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2"/>
              </w:rPr>
            </w:pPr>
            <w:r>
              <w:rPr>
                <w:rFonts w:hint="eastAsia" w:asciiTheme="minorEastAsia" w:hAnsiTheme="minorEastAsia" w:eastAsiaTheme="minorEastAsia"/>
                <w:kern w:val="2"/>
              </w:rPr>
              <w:t>重点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/>
                <w:kern w:val="2"/>
              </w:rPr>
              <w:t>工作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/>
                <w:kern w:val="2"/>
              </w:rPr>
              <w:t>2</w:t>
            </w:r>
          </w:p>
        </w:tc>
        <w:tc>
          <w:tcPr>
            <w:tcW w:w="1278" w:type="dxa"/>
            <w:vAlign w:val="center"/>
          </w:tcPr>
          <w:p>
            <w:pPr>
              <w:spacing w:line="320" w:lineRule="exact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/>
                <w:kern w:val="2"/>
              </w:rPr>
              <w:t>校内预算管理</w:t>
            </w:r>
          </w:p>
        </w:tc>
        <w:tc>
          <w:tcPr>
            <w:tcW w:w="4963" w:type="dxa"/>
            <w:vAlign w:val="top"/>
          </w:tcPr>
          <w:p>
            <w:pPr>
              <w:pStyle w:val="12"/>
              <w:spacing w:line="276" w:lineRule="auto"/>
              <w:ind w:firstLine="0" w:firstLineChars="0"/>
              <w:rPr>
                <w:kern w:val="2"/>
              </w:rPr>
            </w:pPr>
            <w:r>
              <w:rPr>
                <w:rFonts w:hint="eastAsia"/>
                <w:kern w:val="2"/>
              </w:rPr>
              <w:t>1.</w:t>
            </w:r>
            <w:r>
              <w:rPr>
                <w:kern w:val="2"/>
              </w:rPr>
              <w:t>制订《</w:t>
            </w:r>
            <w:r>
              <w:rPr>
                <w:rFonts w:hint="eastAsia"/>
                <w:kern w:val="2"/>
              </w:rPr>
              <w:t>二级学院</w:t>
            </w:r>
            <w:r>
              <w:rPr>
                <w:kern w:val="2"/>
              </w:rPr>
              <w:t>经费管理办法》</w:t>
            </w:r>
            <w:r>
              <w:rPr>
                <w:rFonts w:hint="eastAsia"/>
                <w:kern w:val="2"/>
              </w:rPr>
              <w:t>，</w:t>
            </w:r>
            <w:r>
              <w:rPr>
                <w:kern w:val="2"/>
              </w:rPr>
              <w:t>进一步规范学校</w:t>
            </w:r>
            <w:r>
              <w:rPr>
                <w:rFonts w:hint="eastAsia"/>
                <w:kern w:val="2"/>
              </w:rPr>
              <w:t>全面预算；（5分）</w:t>
            </w:r>
          </w:p>
          <w:p>
            <w:pPr>
              <w:pStyle w:val="12"/>
              <w:spacing w:line="276" w:lineRule="auto"/>
              <w:ind w:firstLine="0" w:firstLineChars="0"/>
              <w:rPr>
                <w:kern w:val="2"/>
              </w:rPr>
            </w:pPr>
            <w:r>
              <w:rPr>
                <w:rFonts w:hint="eastAsia"/>
                <w:kern w:val="2"/>
              </w:rPr>
              <w:t>2.规范</w:t>
            </w:r>
            <w:r>
              <w:rPr>
                <w:kern w:val="2"/>
              </w:rPr>
              <w:t>预算项目及预算指标的调整调剂流程</w:t>
            </w:r>
            <w:r>
              <w:rPr>
                <w:rFonts w:hint="eastAsia"/>
                <w:kern w:val="2"/>
              </w:rPr>
              <w:t>；（5分）</w:t>
            </w:r>
          </w:p>
          <w:p>
            <w:pPr>
              <w:pStyle w:val="12"/>
              <w:spacing w:line="276" w:lineRule="auto"/>
              <w:ind w:firstLine="0" w:firstLineChars="0"/>
              <w:rPr>
                <w:kern w:val="2"/>
              </w:rPr>
            </w:pPr>
            <w:r>
              <w:rPr>
                <w:rFonts w:hint="eastAsia"/>
                <w:kern w:val="2"/>
              </w:rPr>
              <w:t>3.及时完成年度预算的编制及下达；（</w:t>
            </w:r>
            <w:r>
              <w:rPr>
                <w:kern w:val="2"/>
              </w:rPr>
              <w:t>10</w:t>
            </w:r>
            <w:r>
              <w:rPr>
                <w:rFonts w:hint="eastAsia"/>
                <w:kern w:val="2"/>
              </w:rPr>
              <w:t>分）</w:t>
            </w:r>
          </w:p>
          <w:p>
            <w:pPr>
              <w:pStyle w:val="12"/>
              <w:spacing w:line="276" w:lineRule="auto"/>
              <w:ind w:firstLine="0" w:firstLine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/>
                <w:kern w:val="2"/>
              </w:rPr>
              <w:t>4.对预算执行情况进行监督管理。（5分）</w:t>
            </w:r>
          </w:p>
        </w:tc>
        <w:tc>
          <w:tcPr>
            <w:tcW w:w="68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  <w:kern w:val="2"/>
              </w:rPr>
              <w:t>25</w:t>
            </w:r>
          </w:p>
        </w:tc>
        <w:tc>
          <w:tcPr>
            <w:tcW w:w="593" w:type="dxa"/>
          </w:tcPr>
          <w:p>
            <w:pPr>
              <w:pStyle w:val="12"/>
              <w:spacing w:line="0" w:lineRule="atLeas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</w:p>
        </w:tc>
        <w:tc>
          <w:tcPr>
            <w:tcW w:w="851" w:type="dxa"/>
          </w:tcPr>
          <w:p>
            <w:pPr>
              <w:pStyle w:val="12"/>
              <w:spacing w:line="0" w:lineRule="atLeas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67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2"/>
              </w:rPr>
            </w:pPr>
            <w:r>
              <w:rPr>
                <w:rFonts w:hint="eastAsia" w:asciiTheme="minorEastAsia" w:hAnsiTheme="minorEastAsia" w:eastAsiaTheme="minorEastAsia"/>
                <w:kern w:val="2"/>
              </w:rPr>
              <w:t>常规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/>
                <w:kern w:val="2"/>
              </w:rPr>
              <w:t>工作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/>
                <w:kern w:val="2"/>
              </w:rPr>
              <w:t>3</w:t>
            </w:r>
          </w:p>
        </w:tc>
        <w:tc>
          <w:tcPr>
            <w:tcW w:w="1278" w:type="dxa"/>
            <w:vAlign w:val="center"/>
          </w:tcPr>
          <w:p>
            <w:pPr>
              <w:spacing w:line="320" w:lineRule="exact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/>
                <w:kern w:val="2"/>
              </w:rPr>
              <w:t>部门预决算管理</w:t>
            </w:r>
          </w:p>
        </w:tc>
        <w:tc>
          <w:tcPr>
            <w:tcW w:w="4963" w:type="dxa"/>
            <w:vAlign w:val="top"/>
          </w:tcPr>
          <w:p>
            <w:pPr>
              <w:pStyle w:val="12"/>
              <w:spacing w:line="276" w:lineRule="auto"/>
              <w:ind w:firstLine="0" w:firstLineChars="0"/>
              <w:rPr>
                <w:kern w:val="2"/>
              </w:rPr>
            </w:pPr>
            <w:r>
              <w:rPr>
                <w:rFonts w:hint="eastAsia"/>
                <w:kern w:val="2"/>
              </w:rPr>
              <w:t>1.及时完成部门的预决算工作；（4分）</w:t>
            </w:r>
          </w:p>
          <w:p>
            <w:pPr>
              <w:pStyle w:val="12"/>
              <w:spacing w:line="276" w:lineRule="auto"/>
              <w:ind w:firstLine="0" w:firstLineChars="0"/>
              <w:rPr>
                <w:kern w:val="2"/>
              </w:rPr>
            </w:pPr>
            <w:r>
              <w:rPr>
                <w:rFonts w:hint="eastAsia"/>
                <w:kern w:val="2"/>
              </w:rPr>
              <w:t>2.按要求进行预决算的公开；（3分）</w:t>
            </w:r>
          </w:p>
          <w:p>
            <w:pPr>
              <w:pStyle w:val="12"/>
              <w:spacing w:line="276" w:lineRule="auto"/>
              <w:ind w:firstLine="0" w:firstLineChars="0"/>
              <w:rPr>
                <w:kern w:val="2"/>
              </w:rPr>
            </w:pPr>
            <w:r>
              <w:rPr>
                <w:rFonts w:hint="eastAsia"/>
                <w:kern w:val="2"/>
              </w:rPr>
              <w:t>3.及时下达二级学院的预算指标；（3分）</w:t>
            </w:r>
          </w:p>
        </w:tc>
        <w:tc>
          <w:tcPr>
            <w:tcW w:w="68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/>
                <w:kern w:val="2"/>
              </w:rPr>
              <w:t>10</w:t>
            </w:r>
          </w:p>
        </w:tc>
        <w:tc>
          <w:tcPr>
            <w:tcW w:w="593" w:type="dxa"/>
          </w:tcPr>
          <w:p>
            <w:pPr>
              <w:pStyle w:val="12"/>
              <w:spacing w:line="0" w:lineRule="atLeas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</w:p>
        </w:tc>
        <w:tc>
          <w:tcPr>
            <w:tcW w:w="851" w:type="dxa"/>
          </w:tcPr>
          <w:p>
            <w:pPr>
              <w:pStyle w:val="12"/>
              <w:spacing w:line="0" w:lineRule="atLeast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675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/>
                <w:kern w:val="2"/>
              </w:rPr>
              <w:t>4</w:t>
            </w:r>
          </w:p>
        </w:tc>
        <w:tc>
          <w:tcPr>
            <w:tcW w:w="1278" w:type="dxa"/>
            <w:vAlign w:val="center"/>
          </w:tcPr>
          <w:p>
            <w:pPr>
              <w:spacing w:line="320" w:lineRule="exact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/>
                <w:kern w:val="2"/>
              </w:rPr>
              <w:t>财务核算</w:t>
            </w:r>
          </w:p>
        </w:tc>
        <w:tc>
          <w:tcPr>
            <w:tcW w:w="4963" w:type="dxa"/>
            <w:vAlign w:val="top"/>
          </w:tcPr>
          <w:p>
            <w:pPr>
              <w:pStyle w:val="12"/>
              <w:spacing w:line="276" w:lineRule="auto"/>
              <w:ind w:firstLine="0" w:firstLineChars="0"/>
              <w:rPr>
                <w:kern w:val="2"/>
              </w:rPr>
            </w:pPr>
            <w:r>
              <w:rPr>
                <w:rFonts w:hint="eastAsia"/>
                <w:kern w:val="2"/>
              </w:rPr>
              <w:t>1.六个学院的二级核算；（3分）</w:t>
            </w:r>
          </w:p>
          <w:p>
            <w:pPr>
              <w:pStyle w:val="12"/>
              <w:spacing w:line="276" w:lineRule="auto"/>
              <w:ind w:firstLine="0" w:firstLineChars="0"/>
              <w:rPr>
                <w:kern w:val="2"/>
              </w:rPr>
            </w:pPr>
            <w:r>
              <w:rPr>
                <w:rFonts w:hint="eastAsia"/>
                <w:kern w:val="2"/>
              </w:rPr>
              <w:t>2.继续教育的核算及利润计算；（3分）</w:t>
            </w:r>
          </w:p>
          <w:p>
            <w:pPr>
              <w:pStyle w:val="12"/>
              <w:spacing w:line="276" w:lineRule="auto"/>
              <w:ind w:firstLine="0" w:firstLineChars="0"/>
              <w:rPr>
                <w:kern w:val="2"/>
              </w:rPr>
            </w:pPr>
            <w:r>
              <w:rPr>
                <w:rFonts w:hint="eastAsia"/>
                <w:kern w:val="2"/>
              </w:rPr>
              <w:t>3.各职能部门的核算；（2分）</w:t>
            </w:r>
          </w:p>
          <w:p>
            <w:pPr>
              <w:pStyle w:val="12"/>
              <w:spacing w:line="276" w:lineRule="auto"/>
              <w:ind w:firstLine="0" w:firstLine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/>
                <w:kern w:val="2"/>
              </w:rPr>
              <w:t>4.各科研项目的核算。（2分）</w:t>
            </w:r>
          </w:p>
        </w:tc>
        <w:tc>
          <w:tcPr>
            <w:tcW w:w="68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/>
                <w:kern w:val="2"/>
              </w:rPr>
              <w:t>10</w:t>
            </w:r>
          </w:p>
        </w:tc>
        <w:tc>
          <w:tcPr>
            <w:tcW w:w="593" w:type="dxa"/>
          </w:tcPr>
          <w:p>
            <w:pPr>
              <w:spacing w:line="0" w:lineRule="atLeast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</w:p>
        </w:tc>
        <w:tc>
          <w:tcPr>
            <w:tcW w:w="851" w:type="dxa"/>
          </w:tcPr>
          <w:p>
            <w:pPr>
              <w:spacing w:line="0" w:lineRule="atLeast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atLeast"/>
        </w:trPr>
        <w:tc>
          <w:tcPr>
            <w:tcW w:w="675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/>
                <w:kern w:val="2"/>
              </w:rPr>
              <w:t>5</w:t>
            </w:r>
          </w:p>
        </w:tc>
        <w:tc>
          <w:tcPr>
            <w:tcW w:w="1278" w:type="dxa"/>
            <w:vAlign w:val="center"/>
          </w:tcPr>
          <w:p>
            <w:pPr>
              <w:spacing w:line="320" w:lineRule="exact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/>
                <w:kern w:val="2"/>
              </w:rPr>
              <w:t>财务运行及经费管理</w:t>
            </w:r>
          </w:p>
        </w:tc>
        <w:tc>
          <w:tcPr>
            <w:tcW w:w="4963" w:type="dxa"/>
            <w:vAlign w:val="top"/>
          </w:tcPr>
          <w:p>
            <w:pPr>
              <w:pStyle w:val="12"/>
              <w:spacing w:line="276" w:lineRule="auto"/>
              <w:ind w:firstLine="0" w:firstLineChars="0"/>
              <w:rPr>
                <w:kern w:val="2"/>
              </w:rPr>
            </w:pPr>
            <w:r>
              <w:rPr>
                <w:rFonts w:hint="eastAsia"/>
                <w:kern w:val="2"/>
              </w:rPr>
              <w:t>1.做好与财政相关部门的沟通，保障政策性资金及时到位；（4分）</w:t>
            </w:r>
          </w:p>
          <w:p>
            <w:pPr>
              <w:pStyle w:val="12"/>
              <w:spacing w:line="276" w:lineRule="auto"/>
              <w:ind w:firstLine="0" w:firstLineChars="0"/>
              <w:rPr>
                <w:kern w:val="2"/>
              </w:rPr>
            </w:pPr>
            <w:r>
              <w:rPr>
                <w:rFonts w:hint="eastAsia"/>
                <w:kern w:val="2"/>
              </w:rPr>
              <w:t>2.各月用款计划上报，指标的下拨；（2分）</w:t>
            </w:r>
          </w:p>
          <w:p>
            <w:pPr>
              <w:pStyle w:val="12"/>
              <w:spacing w:line="276" w:lineRule="auto"/>
              <w:ind w:firstLine="0" w:firstLineChars="0"/>
              <w:rPr>
                <w:kern w:val="2"/>
              </w:rPr>
            </w:pPr>
            <w:r>
              <w:rPr>
                <w:rFonts w:hint="eastAsia"/>
                <w:kern w:val="2"/>
              </w:rPr>
              <w:t>3.各报销单据的录入、审核、送审、支付；（4分）</w:t>
            </w:r>
          </w:p>
        </w:tc>
        <w:tc>
          <w:tcPr>
            <w:tcW w:w="68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/>
                <w:kern w:val="2"/>
              </w:rPr>
              <w:t>10</w:t>
            </w:r>
          </w:p>
        </w:tc>
        <w:tc>
          <w:tcPr>
            <w:tcW w:w="593" w:type="dxa"/>
          </w:tcPr>
          <w:p>
            <w:pPr>
              <w:spacing w:line="0" w:lineRule="atLeast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</w:p>
        </w:tc>
        <w:tc>
          <w:tcPr>
            <w:tcW w:w="851" w:type="dxa"/>
          </w:tcPr>
          <w:p>
            <w:pPr>
              <w:spacing w:line="0" w:lineRule="atLeast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675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/>
                <w:kern w:val="2"/>
              </w:rPr>
              <w:t>6</w:t>
            </w:r>
          </w:p>
        </w:tc>
        <w:tc>
          <w:tcPr>
            <w:tcW w:w="1278" w:type="dxa"/>
            <w:vAlign w:val="center"/>
          </w:tcPr>
          <w:p>
            <w:pPr>
              <w:spacing w:line="320" w:lineRule="exact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/>
                <w:kern w:val="2"/>
              </w:rPr>
              <w:t>薪酬发放、学费收缴</w:t>
            </w:r>
          </w:p>
        </w:tc>
        <w:tc>
          <w:tcPr>
            <w:tcW w:w="4963" w:type="dxa"/>
            <w:vAlign w:val="top"/>
          </w:tcPr>
          <w:p>
            <w:pPr>
              <w:pStyle w:val="12"/>
              <w:spacing w:line="276" w:lineRule="auto"/>
              <w:ind w:firstLine="0" w:firstLineChars="0"/>
              <w:rPr>
                <w:kern w:val="2"/>
              </w:rPr>
            </w:pPr>
            <w:r>
              <w:rPr>
                <w:rFonts w:hint="eastAsia"/>
                <w:kern w:val="2"/>
              </w:rPr>
              <w:t>1.工资及各项津补贴的发放；（4分）</w:t>
            </w:r>
          </w:p>
          <w:p>
            <w:pPr>
              <w:pStyle w:val="12"/>
              <w:spacing w:line="276" w:lineRule="auto"/>
              <w:ind w:firstLine="0" w:firstLineChars="0"/>
              <w:rPr>
                <w:kern w:val="2"/>
              </w:rPr>
            </w:pPr>
            <w:r>
              <w:rPr>
                <w:rFonts w:hint="eastAsia"/>
                <w:kern w:val="2"/>
              </w:rPr>
              <w:t>2.学杂费的收缴；         （4分）</w:t>
            </w:r>
          </w:p>
          <w:p>
            <w:pPr>
              <w:pStyle w:val="12"/>
              <w:spacing w:line="276" w:lineRule="auto"/>
              <w:ind w:firstLine="0" w:firstLine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/>
                <w:kern w:val="2"/>
              </w:rPr>
              <w:t>3.学院其他收入的收缴。（4分）</w:t>
            </w:r>
          </w:p>
        </w:tc>
        <w:tc>
          <w:tcPr>
            <w:tcW w:w="68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/>
                <w:kern w:val="2"/>
              </w:rPr>
              <w:t>12</w:t>
            </w:r>
          </w:p>
        </w:tc>
        <w:tc>
          <w:tcPr>
            <w:tcW w:w="593" w:type="dxa"/>
          </w:tcPr>
          <w:p>
            <w:pPr>
              <w:spacing w:line="0" w:lineRule="atLeast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</w:p>
        </w:tc>
        <w:tc>
          <w:tcPr>
            <w:tcW w:w="851" w:type="dxa"/>
          </w:tcPr>
          <w:p>
            <w:pPr>
              <w:spacing w:line="0" w:lineRule="atLeast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675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/>
                <w:kern w:val="2"/>
              </w:rPr>
              <w:t>7</w:t>
            </w:r>
          </w:p>
        </w:tc>
        <w:tc>
          <w:tcPr>
            <w:tcW w:w="1278" w:type="dxa"/>
            <w:vAlign w:val="center"/>
          </w:tcPr>
          <w:p>
            <w:pPr>
              <w:spacing w:line="320" w:lineRule="exact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/>
                <w:kern w:val="2"/>
              </w:rPr>
              <w:t>票据管理</w:t>
            </w:r>
          </w:p>
        </w:tc>
        <w:tc>
          <w:tcPr>
            <w:tcW w:w="4963" w:type="dxa"/>
            <w:vAlign w:val="center"/>
          </w:tcPr>
          <w:p>
            <w:pPr>
              <w:spacing w:line="276" w:lineRule="auto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/>
                <w:kern w:val="2"/>
              </w:rPr>
              <w:t>严格执行财政及税务票据的申领、开据、保管、核销等各环节的规定。</w:t>
            </w:r>
          </w:p>
        </w:tc>
        <w:tc>
          <w:tcPr>
            <w:tcW w:w="68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/>
                <w:kern w:val="2"/>
              </w:rPr>
              <w:t>7</w:t>
            </w:r>
          </w:p>
        </w:tc>
        <w:tc>
          <w:tcPr>
            <w:tcW w:w="593" w:type="dxa"/>
          </w:tcPr>
          <w:p>
            <w:pPr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</w:p>
        </w:tc>
        <w:tc>
          <w:tcPr>
            <w:tcW w:w="851" w:type="dxa"/>
          </w:tcPr>
          <w:p>
            <w:pPr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675" w:type="dxa"/>
            <w:vMerge w:val="continue"/>
          </w:tcPr>
          <w:p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/>
                <w:kern w:val="2"/>
              </w:rPr>
              <w:t>8</w:t>
            </w:r>
          </w:p>
        </w:tc>
        <w:tc>
          <w:tcPr>
            <w:tcW w:w="1278" w:type="dxa"/>
            <w:vAlign w:val="center"/>
          </w:tcPr>
          <w:p>
            <w:pPr>
              <w:spacing w:line="320" w:lineRule="exact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/>
                <w:kern w:val="2"/>
              </w:rPr>
              <w:t>财务档案</w:t>
            </w:r>
          </w:p>
        </w:tc>
        <w:tc>
          <w:tcPr>
            <w:tcW w:w="4963" w:type="dxa"/>
            <w:vAlign w:val="center"/>
          </w:tcPr>
          <w:p>
            <w:pPr>
              <w:spacing w:line="276" w:lineRule="auto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/>
                <w:kern w:val="2"/>
              </w:rPr>
              <w:t>财务资料的收集、整理和归档</w:t>
            </w:r>
          </w:p>
        </w:tc>
        <w:tc>
          <w:tcPr>
            <w:tcW w:w="68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/>
                <w:kern w:val="2"/>
              </w:rPr>
              <w:t>6</w:t>
            </w:r>
          </w:p>
        </w:tc>
        <w:tc>
          <w:tcPr>
            <w:tcW w:w="593" w:type="dxa"/>
          </w:tcPr>
          <w:p>
            <w:pPr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</w:p>
        </w:tc>
        <w:tc>
          <w:tcPr>
            <w:tcW w:w="851" w:type="dxa"/>
          </w:tcPr>
          <w:p>
            <w:pPr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7483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/>
                <w:kern w:val="2"/>
              </w:rPr>
              <w:t>合   计</w:t>
            </w:r>
          </w:p>
        </w:tc>
        <w:tc>
          <w:tcPr>
            <w:tcW w:w="680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Times New Roman" w:hAnsi="Times New Roman" w:eastAsia="宋体" w:cs="Times New Roman"/>
                <w:kern w:val="2"/>
              </w:rPr>
            </w:pPr>
            <w:r>
              <w:rPr>
                <w:rFonts w:hint="eastAsia" w:ascii="Times New Roman" w:hAnsi="Times New Roman" w:eastAsia="宋体"/>
                <w:kern w:val="2"/>
              </w:rPr>
              <w:t>100</w:t>
            </w:r>
          </w:p>
        </w:tc>
        <w:tc>
          <w:tcPr>
            <w:tcW w:w="593" w:type="dxa"/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u w:val="none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97</w:t>
            </w:r>
          </w:p>
        </w:tc>
      </w:tr>
    </w:tbl>
    <w:p>
      <w:pPr>
        <w:spacing w:line="0" w:lineRule="atLeast"/>
        <w:rPr>
          <w:rFonts w:hint="default" w:ascii="黑体" w:eastAsia="黑体"/>
          <w:b/>
          <w:bCs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501"/>
    <w:rsid w:val="0027031C"/>
    <w:rsid w:val="009859E1"/>
    <w:rsid w:val="00B06501"/>
    <w:rsid w:val="00DC0F28"/>
    <w:rsid w:val="00FD6343"/>
    <w:rsid w:val="13A12EDF"/>
    <w:rsid w:val="14175339"/>
    <w:rsid w:val="15BA22F0"/>
    <w:rsid w:val="174B25C8"/>
    <w:rsid w:val="342F6213"/>
    <w:rsid w:val="5A2C1DE4"/>
    <w:rsid w:val="6A2772C2"/>
    <w:rsid w:val="7BA72A10"/>
    <w:rsid w:val="BBF2DA36"/>
    <w:rsid w:val="FFFFB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snapToGrid w:val="0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snapToGrid/>
      <w:sz w:val="24"/>
      <w:szCs w:val="24"/>
    </w:rPr>
  </w:style>
  <w:style w:type="paragraph" w:styleId="7">
    <w:name w:val="Body Text First Indent 2"/>
    <w:basedOn w:val="3"/>
    <w:qFormat/>
    <w:uiPriority w:val="0"/>
    <w:pPr>
      <w:ind w:firstLine="420" w:firstLineChars="200"/>
    </w:pPr>
    <w:rPr>
      <w:rFonts w:ascii="Calibri" w:hAnsi="Calibri"/>
      <w:kern w:val="2"/>
      <w:szCs w:val="24"/>
    </w:rPr>
  </w:style>
  <w:style w:type="table" w:styleId="9">
    <w:name w:val="Table Grid"/>
    <w:basedOn w:val="8"/>
    <w:qFormat/>
    <w:uiPriority w:val="59"/>
    <w:rPr>
      <w:kern w:val="2"/>
      <w:sz w:val="21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1">
    <w:name w:val="Strong"/>
    <w:qFormat/>
    <w:uiPriority w:val="0"/>
    <w:rPr>
      <w:b/>
      <w:bCs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Char"/>
    <w:basedOn w:val="10"/>
    <w:link w:val="5"/>
    <w:qFormat/>
    <w:uiPriority w:val="99"/>
    <w:rPr>
      <w:snapToGrid w:val="0"/>
      <w:sz w:val="18"/>
      <w:szCs w:val="18"/>
    </w:rPr>
  </w:style>
  <w:style w:type="character" w:customStyle="1" w:styleId="14">
    <w:name w:val="页脚 Char"/>
    <w:basedOn w:val="10"/>
    <w:link w:val="4"/>
    <w:qFormat/>
    <w:uiPriority w:val="99"/>
    <w:rPr>
      <w:snapToGrid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109</Words>
  <Characters>623</Characters>
  <Lines>5</Lines>
  <Paragraphs>1</Paragraphs>
  <TotalTime>12</TotalTime>
  <ScaleCrop>false</ScaleCrop>
  <LinksUpToDate>false</LinksUpToDate>
  <CharactersWithSpaces>731</CharactersWithSpaces>
  <Application>WPS Office_11.8.2.8876_F1E327BC-269C-435d-A152-05C5408002CA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2019-11-26T16:15:00Z</dcterms:created>
  <dc:creator>Windows</dc:creator>
  <cp:lastModifiedBy>ADMIN</cp:lastModifiedBy>
  <dcterms:modified xsi:type="dcterms:W3CDTF">2024-01-16T08:01:57Z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2052-11.8.2.8876</vt:lpwstr>
  </property>
</Properties>
</file>