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7"/>
          <w:rFonts w:ascii="黑体" w:eastAsia="黑体"/>
          <w:b w:val="0"/>
          <w:sz w:val="32"/>
          <w:szCs w:val="32"/>
        </w:rPr>
      </w:pPr>
      <w:r>
        <w:rPr>
          <w:rStyle w:val="7"/>
          <w:rFonts w:hint="eastAsia" w:ascii="黑体" w:eastAsia="黑体"/>
          <w:sz w:val="32"/>
          <w:szCs w:val="32"/>
        </w:rPr>
        <w:t>科研管理与地方合作处</w:t>
      </w:r>
    </w:p>
    <w:p>
      <w:pPr>
        <w:jc w:val="center"/>
        <w:rPr>
          <w:rStyle w:val="7"/>
          <w:rFonts w:ascii="黑体" w:eastAsia="黑体"/>
          <w:sz w:val="32"/>
          <w:szCs w:val="32"/>
        </w:rPr>
      </w:pPr>
      <w:r>
        <w:rPr>
          <w:rStyle w:val="7"/>
          <w:rFonts w:hint="eastAsia" w:ascii="黑体" w:eastAsia="黑体"/>
          <w:sz w:val="32"/>
          <w:szCs w:val="32"/>
        </w:rPr>
        <w:t>2023年目标责任制考核工作目标与任务表</w:t>
      </w:r>
    </w:p>
    <w:tbl>
      <w:tblPr>
        <w:tblStyle w:val="5"/>
        <w:tblW w:w="8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529"/>
        <w:gridCol w:w="855"/>
        <w:gridCol w:w="2370"/>
        <w:gridCol w:w="615"/>
        <w:gridCol w:w="2512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类别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序号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职责或项目</w:t>
            </w:r>
            <w:bookmarkStart w:id="0" w:name="_GoBack"/>
            <w:bookmarkEnd w:id="0"/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具体目标、任务或措施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</w:rPr>
              <w:t>分值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完成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情况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7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重点突破工作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校县合作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推动校县合作向深度广度发展，与松阳县经济开发区、林业生态中心有新的合作项目落地。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15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2023年，学校与松阳县持续深入合作，新签订6个项目，到账52万。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重点工作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平台建设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eastAsia="仿宋" w:asciiTheme="minorEastAsia" w:hAnsiTheme="minorEastAsia" w:cstheme="min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深入推进技术技能创新服务平台建设。建设好市级重点实验室、创新联合体，争取获立市重点研发项目或省级研究项目1-2个，完成社会服务到账经费400万元以上。总结形成有自身特色的平台管理办法、机制建设和运行管理模式。指导技师学院、中职校提升科研与社会服务工作水平，并积极向同类院校推广平台建设的成果和经验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15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1.丽水市级重点实验室1个，市财政资助经费30万，校级9个技术技能平台社会服务到账经费420万， 立市重点研发项目立项3个，项目总经费730万。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.科研处赴学校龙泉分校开展科研工作专项调研，为分校教师提供科研申报指导。在外交流方面，与百色职业学院（广西）举行校校合作签约仪式。我校专家、教授先后赴新疆和青海等中西部地区，进行合作，取得良好成效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171A1D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171A1D"/>
                <w:sz w:val="18"/>
                <w:szCs w:val="18"/>
                <w:shd w:val="clear" w:color="auto" w:fill="FFFFFF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社会服务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="宋体" w:hAnsi="宋体"/>
              </w:rPr>
              <w:t>组织二级学院推出社会服务菜单；科研技术服务到账经费600万元。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2023年，我校横向项目到账金额808万。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常规工作</w:t>
            </w: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科技服务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进一步发挥校科协成员的作用；继续做好工业特派员、农村科技特派员、大院名校等科技服务工作。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1.2023年，我校获市派产业团队科技特派员（科技特派团）项目1项，项目经费100万；工业科技特派员立项2项，每项项目经费20万。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2.大院名校工作持续深入企业，签订横向项目90余项。学校获丽水市科技局大院名校工作考核三等奖。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能力提升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继续推进落实科研导师制，不断提高青年教师科研与社会服务能力。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青年科研导师共结对18组，青年教师在导师指导下，发表论文7篇，其中SCI1区1篇；获市厅级课题立项7项；主持横向项目8项，到账经费69万元。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项目管理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规范评审程序，加强过程管理，新立项省部级项目1-2项，市厅级课题50项。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2023年，我校获立省部级课题6项，获立市重点研发项目立项3个，市厅级课题90项。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诚信建设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</w:rPr>
              <w:t>强化科研诚信教育，加强风险防范，落实廉政建设责任，按规定做好信息公开。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Theme="minorEastAsia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1.公开经费信息100余项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2.公示科研申报及校内推荐、评奖等信息130余项。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3.对学校近三年EI,SCI等30余篇文章进行诚信自查。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信息化建设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建好科研信息管理系统并全面投入使用。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1.科研处正式启用“丽职科研”公众号，旨在及时、高效地为全校教师提供各类科研信息及科研动态，受到一致好评。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2.已初步建成学校科研信息管理系统，等待完善后投入使用。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科研统计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完成高校科研统计年报；教师科研成果业绩审核统计等相关工作。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本年度完成科技厅年度高校科技转化统计报告、教育部年度高校科技/社科统计年报、教育厅审计数据报送、大院名校各项工作、省教育厅乡村振兴案例报送、乡村振兴助力职业教育总结材料等工作20余项。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6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其他工作</w:t>
            </w:r>
          </w:p>
        </w:tc>
        <w:tc>
          <w:tcPr>
            <w:tcW w:w="23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及时高质量完成学校交办的其他工作任务。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1.继续深入推进校地合作，与缙云建立合作关系，落地25项项目清单。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 根据市巡视巡查立行立改要求，制定《丽水职业技术学院引进人才科研启动经费管理办法(试行)》，修订《丽水职业技术学院科研项目经费管理办法》《丽水职业技术学院横向项目管理办法》《丽水职业技术学院纵向项目管理办法》。</w:t>
            </w: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45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合计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100</w:t>
            </w:r>
          </w:p>
        </w:tc>
        <w:tc>
          <w:tcPr>
            <w:tcW w:w="25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6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wNjVhMjdiYTJkMGQ4ZTdjODlhYjhiMTZmZjkyNzEifQ=="/>
  </w:docVars>
  <w:rsids>
    <w:rsidRoot w:val="009D79E7"/>
    <w:rsid w:val="00190527"/>
    <w:rsid w:val="00217466"/>
    <w:rsid w:val="00267FC1"/>
    <w:rsid w:val="0027031C"/>
    <w:rsid w:val="0043604B"/>
    <w:rsid w:val="004E1E04"/>
    <w:rsid w:val="00581DBB"/>
    <w:rsid w:val="005B5BB6"/>
    <w:rsid w:val="00680946"/>
    <w:rsid w:val="007563E5"/>
    <w:rsid w:val="007A7929"/>
    <w:rsid w:val="009D79E7"/>
    <w:rsid w:val="00A519F4"/>
    <w:rsid w:val="00B5412D"/>
    <w:rsid w:val="00BA5539"/>
    <w:rsid w:val="00C907B9"/>
    <w:rsid w:val="00D57E01"/>
    <w:rsid w:val="00D73784"/>
    <w:rsid w:val="00DC165A"/>
    <w:rsid w:val="00E30D71"/>
    <w:rsid w:val="00FA7AB9"/>
    <w:rsid w:val="020B7E0E"/>
    <w:rsid w:val="033E1E11"/>
    <w:rsid w:val="048478B1"/>
    <w:rsid w:val="08800B28"/>
    <w:rsid w:val="0F2B4E0A"/>
    <w:rsid w:val="18841CAB"/>
    <w:rsid w:val="2268012F"/>
    <w:rsid w:val="29120A09"/>
    <w:rsid w:val="377F2451"/>
    <w:rsid w:val="399D5DFC"/>
    <w:rsid w:val="52EF5953"/>
    <w:rsid w:val="630D6951"/>
    <w:rsid w:val="63860854"/>
    <w:rsid w:val="69D271B0"/>
    <w:rsid w:val="6A55118A"/>
    <w:rsid w:val="74E55253"/>
    <w:rsid w:val="75DD1DAB"/>
    <w:rsid w:val="76CC0688"/>
    <w:rsid w:val="7CE4627D"/>
    <w:rsid w:val="7DD0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4"/>
    <w:autoRedefine/>
    <w:qFormat/>
    <w:uiPriority w:val="99"/>
    <w:rPr>
      <w:rFonts w:ascii="Times New Roman" w:hAnsi="Times New Roman" w:eastAsia="宋体" w:cs="Times New Roman"/>
      <w:snapToGrid w:val="0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napToGrid w:val="0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228</Words>
  <Characters>1303</Characters>
  <Lines>10</Lines>
  <Paragraphs>3</Paragraphs>
  <TotalTime>66</TotalTime>
  <ScaleCrop>false</ScaleCrop>
  <LinksUpToDate>false</LinksUpToDate>
  <CharactersWithSpaces>1528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2019-11-26T07:28:00Z</dcterms:created>
  <dc:creator>Windows</dc:creator>
  <cp:lastModifiedBy>田各</cp:lastModifiedBy>
  <cp:lastPrinted>2024-01-10T08:28:00Z</cp:lastPrinted>
  <dcterms:modified xsi:type="dcterms:W3CDTF">2024-01-11T07:52:06Z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78DED8356A5A451BB15B1E5F3C6FE9B7_12</vt:lpwstr>
  </property>
</Properties>
</file>