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jc w:val="left"/>
        <w:rPr>
          <w:rFonts w:ascii="华文楷体" w:hAnsi="华文楷体" w:eastAsia="华文楷体"/>
          <w:sz w:val="24"/>
          <w:szCs w:val="24"/>
        </w:rPr>
      </w:pPr>
    </w:p>
    <w:p>
      <w:pPr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学生缴费流程说明</w:t>
      </w:r>
    </w:p>
    <w:p>
      <w:pPr>
        <w:rPr>
          <w:rFonts w:ascii="华文楷体" w:hAnsi="华文楷体" w:eastAsia="华文楷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根据浙江省政府和财政局的要求，学生缴费要统一通过政府公共支付平台进行缴纳，现将缴费</w:t>
      </w:r>
      <w:r>
        <w:rPr>
          <w:rFonts w:hint="eastAsia" w:ascii="华文楷体" w:hAnsi="华文楷体" w:eastAsia="华文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流程</w:t>
      </w:r>
      <w:r>
        <w:rPr>
          <w:rFonts w:hint="eastAsia" w:ascii="华文楷体" w:hAnsi="华文楷体" w:eastAsia="华文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介绍如下：</w:t>
      </w:r>
    </w:p>
    <w:p>
      <w:pPr>
        <w:rPr>
          <w:rFonts w:ascii="华文楷体" w:hAnsi="华文楷体" w:eastAsia="华文楷体"/>
          <w:b/>
          <w:bCs/>
          <w:sz w:val="32"/>
          <w:szCs w:val="32"/>
        </w:rPr>
      </w:pPr>
    </w:p>
    <w:p>
      <w:pPr>
        <w:numPr>
          <w:ilvl w:val="0"/>
          <w:numId w:val="1"/>
        </w:numPr>
        <w:ind w:firstLine="961" w:firstLineChars="400"/>
        <w:rPr>
          <w:rFonts w:hint="eastAsia" w:ascii="华文楷体" w:hAnsi="华文楷体" w:eastAsia="华文楷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/>
          <w:b/>
          <w:bCs/>
          <w:sz w:val="24"/>
          <w:szCs w:val="24"/>
        </w:rPr>
        <w:t>打开支付宝，</w:t>
      </w:r>
      <w:r>
        <w:rPr>
          <w:rFonts w:hint="eastAsia" w:ascii="华文楷体" w:hAnsi="华文楷体" w:eastAsia="华文楷体"/>
          <w:b/>
          <w:bCs/>
          <w:sz w:val="24"/>
          <w:szCs w:val="24"/>
          <w:lang w:eastAsia="zh-CN"/>
        </w:rPr>
        <w:t>扫描以下二维码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 xml:space="preserve"> </w:t>
      </w:r>
      <w:r>
        <w:rPr>
          <w:rFonts w:hint="eastAsia" w:ascii="华文楷体" w:hAnsi="华文楷体" w:eastAsia="华文楷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华文楷体" w:hAnsi="华文楷体" w:eastAsia="华文楷体"/>
          <w:sz w:val="24"/>
          <w:szCs w:val="24"/>
          <w:lang w:val="en-US" w:eastAsia="zh-CN"/>
        </w:rPr>
        <w:t xml:space="preserve">               </w:t>
      </w:r>
      <w:r>
        <w:rPr>
          <w:rFonts w:hint="eastAsia" w:ascii="华文楷体" w:hAnsi="华文楷体" w:eastAsia="华文楷体" w:cs="宋体"/>
          <w:b/>
          <w:bCs/>
          <w:kern w:val="0"/>
          <w:sz w:val="24"/>
          <w:szCs w:val="24"/>
        </w:rPr>
        <w:t>2</w:t>
      </w:r>
      <w:r>
        <w:rPr>
          <w:rFonts w:hint="eastAsia" w:ascii="华文楷体" w:hAnsi="华文楷体" w:eastAsia="华文楷体" w:cs="宋体"/>
          <w:b/>
          <w:bCs/>
          <w:kern w:val="0"/>
          <w:sz w:val="24"/>
          <w:szCs w:val="24"/>
          <w:lang w:val="en-US" w:eastAsia="zh-CN"/>
        </w:rPr>
        <w:t>.先填写学生本人身份证号码和姓名               3.核对学生本人信息是否正确后</w:t>
      </w:r>
    </w:p>
    <w:p>
      <w:pPr>
        <w:numPr>
          <w:ilvl w:val="0"/>
          <w:numId w:val="0"/>
        </w:numPr>
        <w:rPr>
          <w:rFonts w:hint="default" w:ascii="华文楷体" w:hAnsi="华文楷体" w:eastAsia="华文楷体"/>
          <w:lang w:val="en-US" w:eastAsia="zh-CN"/>
        </w:rPr>
      </w:pPr>
      <w:r>
        <w:rPr>
          <w:rFonts w:hint="eastAsia" w:ascii="华文楷体" w:hAnsi="华文楷体" w:eastAsia="华文楷体"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华文楷体" w:hAnsi="华文楷体" w:eastAsia="华文楷体"/>
          <w:b/>
          <w:bCs/>
          <w:sz w:val="24"/>
          <w:szCs w:val="24"/>
          <w:lang w:val="en-US" w:eastAsia="zh-CN"/>
        </w:rPr>
        <w:t xml:space="preserve">              </w:t>
      </w:r>
      <w:r>
        <w:rPr>
          <w:rFonts w:hint="eastAsia" w:ascii="华文楷体" w:hAnsi="华文楷体" w:eastAsia="华文楷体" w:cs="宋体"/>
          <w:b/>
          <w:bCs/>
          <w:kern w:val="0"/>
          <w:sz w:val="24"/>
          <w:szCs w:val="24"/>
        </w:rPr>
        <w:t>再点击缴费</w:t>
      </w:r>
      <w:r>
        <w:rPr>
          <w:rFonts w:hint="eastAsia" w:ascii="华文楷体" w:hAnsi="华文楷体" w:eastAsia="华文楷体" w:cs="宋体"/>
          <w:b/>
          <w:bCs/>
          <w:kern w:val="0"/>
          <w:sz w:val="24"/>
          <w:szCs w:val="24"/>
          <w:lang w:val="en-US" w:eastAsia="zh-CN"/>
        </w:rPr>
        <w:t xml:space="preserve">                                    再确认缴费</w:t>
      </w:r>
    </w:p>
    <w:p>
      <w:pPr>
        <w:rPr>
          <w:rFonts w:ascii="华文楷体" w:hAnsi="华文楷体" w:eastAsia="华文楷体"/>
        </w:rPr>
      </w:pPr>
    </w:p>
    <w:p>
      <w:pPr>
        <w:tabs>
          <w:tab w:val="left" w:pos="4565"/>
        </w:tabs>
        <w:rPr>
          <w:rFonts w:hint="default" w:ascii="华文楷体" w:hAnsi="华文楷体" w:eastAsiaTheme="minorEastAsia"/>
          <w:lang w:val="en-US" w:eastAsia="zh-CN"/>
        </w:rPr>
      </w:pPr>
      <w:r>
        <w:rPr>
          <w:rFonts w:hint="eastAsia" w:ascii="华文楷体" w:hAnsi="华文楷体" w:eastAsia="华文楷体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6339205</wp:posOffset>
                </wp:positionH>
                <wp:positionV relativeFrom="paragraph">
                  <wp:posOffset>1129665</wp:posOffset>
                </wp:positionV>
                <wp:extent cx="933450" cy="238125"/>
                <wp:effectExtent l="12700" t="12700" r="25400" b="15875"/>
                <wp:wrapNone/>
                <wp:docPr id="12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id="右箭头 11" o:spid="_x0000_s1026" o:spt="13" type="#_x0000_t13" style="position:absolute;left:0pt;margin-left:499.15pt;margin-top:88.95pt;height:18.75pt;width:73.5pt;z-index:251652096;mso-width-relative:page;mso-height-relative:page;" fillcolor="#4F81BD [3204]" filled="t" stroked="t" coordsize="21600,21600" o:gfxdata="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lBEq33AAAAAwBAAAPAAAAAAAAAAEAIAAAACIAAABkcnMvZG93bnJldi54&#10;bWxQSwECFAAUAAAACACHTuJAl9Lfe/YBAADbAwAADgAAAAAAAAABACAAAAArAQAAZHJzL2Uyb0Rv&#10;Yy54bWxQSwUGAAAAAAYABgBZAQAAkwUAAAAA&#10;" adj="18845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楷体" w:hAnsi="华文楷体" w:eastAsia="华文楷体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1082040</wp:posOffset>
                </wp:positionV>
                <wp:extent cx="933450" cy="238125"/>
                <wp:effectExtent l="12700" t="12700" r="25400" b="15875"/>
                <wp:wrapNone/>
                <wp:docPr id="13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id="右箭头 12" o:spid="_x0000_s1026" o:spt="13" type="#_x0000_t13" style="position:absolute;left:0pt;margin-left:241.45pt;margin-top:85.2pt;height:18.75pt;width:73.5pt;z-index:251654144;mso-width-relative:page;mso-height-relative:page;" fillcolor="#4F81BD [3204]" filled="t" stroked="t" coordsize="21600,21600" o:gfxdata="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x0r/NoAAAALAQAADwAAAAAAAAABACAAAAAiAAAAZHJzL2Rvd25yZXYueG1s&#10;UEsBAhQAFAAAAAgAh07iQKIkV+32AQAA2wMAAA4AAAAAAAAAAQAgAAAAKQEAAGRycy9lMm9Eb2Mu&#10;eG1sUEsFBgAAAAAGAAYAWQEAAJEFAAAAAA==&#10;" adj="18845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2461260" cy="2699385"/>
            <wp:effectExtent l="0" t="0" r="15240" b="5715"/>
            <wp:docPr id="1" name="图片 1" descr="丽水职业缴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丽水职业缴费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2145665" cy="2707640"/>
            <wp:effectExtent l="0" t="0" r="6985" b="16510"/>
            <wp:docPr id="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27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</w:t>
      </w:r>
      <w:r>
        <w:drawing>
          <wp:inline distT="0" distB="0" distL="114300" distR="114300">
            <wp:extent cx="2020570" cy="2780030"/>
            <wp:effectExtent l="0" t="0" r="17780" b="1270"/>
            <wp:docPr id="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ind w:firstLine="360" w:firstLineChars="150"/>
        <w:rPr>
          <w:rFonts w:ascii="华文楷体" w:hAnsi="华文楷体" w:eastAsia="华文楷体"/>
          <w:sz w:val="24"/>
          <w:szCs w:val="24"/>
        </w:rPr>
      </w:pPr>
      <w:r>
        <w:rPr>
          <w:rFonts w:ascii="华文楷体" w:hAnsi="华文楷体" w:eastAsia="华文楷体"/>
          <w:sz w:val="24"/>
          <w:szCs w:val="24"/>
        </w:rPr>
        <w:t xml:space="preserve">      </w:t>
      </w:r>
      <w:r>
        <w:rPr>
          <w:rFonts w:hint="eastAsia" w:ascii="华文楷体" w:hAnsi="华文楷体" w:eastAsia="华文楷体"/>
          <w:sz w:val="24"/>
          <w:szCs w:val="24"/>
        </w:rPr>
        <w:t xml:space="preserve">            </w:t>
      </w:r>
      <w:r>
        <w:rPr>
          <w:rFonts w:ascii="华文楷体" w:hAnsi="华文楷体" w:eastAsia="华文楷体"/>
          <w:sz w:val="24"/>
          <w:szCs w:val="24"/>
        </w:rPr>
        <w:t xml:space="preserve">   </w:t>
      </w:r>
      <w:r>
        <w:rPr>
          <w:rFonts w:hint="eastAsia" w:ascii="华文楷体" w:hAnsi="华文楷体" w:eastAsia="华文楷体"/>
          <w:sz w:val="24"/>
          <w:szCs w:val="24"/>
        </w:rPr>
        <w:t xml:space="preserve">              </w:t>
      </w:r>
      <w:r>
        <w:rPr>
          <w:rFonts w:ascii="华文楷体" w:hAnsi="华文楷体" w:eastAsia="华文楷体"/>
          <w:sz w:val="24"/>
          <w:szCs w:val="24"/>
        </w:rPr>
        <w:t xml:space="preserve">       </w:t>
      </w:r>
      <w:r>
        <w:rPr>
          <w:rFonts w:hint="eastAsia" w:ascii="华文楷体" w:hAnsi="华文楷体" w:eastAsia="华文楷体"/>
          <w:sz w:val="24"/>
          <w:szCs w:val="24"/>
        </w:rPr>
        <w:t xml:space="preserve">   </w:t>
      </w: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 xml:space="preserve">       </w:t>
      </w:r>
    </w:p>
    <w:p>
      <w:pPr>
        <w:rPr>
          <w:rFonts w:ascii="华文楷体" w:hAnsi="华文楷体" w:eastAsia="华文楷体"/>
        </w:rPr>
      </w:pPr>
    </w:p>
    <w:p>
      <w:pPr>
        <w:numPr>
          <w:ilvl w:val="0"/>
          <w:numId w:val="0"/>
        </w:numPr>
        <w:ind w:firstLine="482" w:firstLineChars="200"/>
        <w:rPr>
          <w:rFonts w:hint="default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4.  跳转到公共</w:t>
      </w:r>
      <w:r>
        <w:rPr>
          <w:rFonts w:hint="eastAsia"/>
          <w:b/>
          <w:bCs/>
          <w:lang w:val="en-US" w:eastAsia="zh-CN"/>
        </w:rPr>
        <w:t>支付页面，填入手机号码         5.  核对缴费金额无误后,点下一步                  6. 点立即付款完成缴费</w:t>
      </w:r>
    </w:p>
    <w:p>
      <w:pPr>
        <w:rPr>
          <w:rFonts w:hint="default" w:ascii="华文楷体" w:hAnsi="华文楷体" w:eastAsia="华文楷体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="华文楷体" w:hAnsi="华文楷体" w:eastAsia="华文楷体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点下一步</w:t>
      </w:r>
    </w:p>
    <w:p>
      <w:pPr>
        <w:rPr>
          <w:rFonts w:ascii="华文楷体" w:hAnsi="华文楷体" w:eastAsia="华文楷体"/>
        </w:rPr>
      </w:pPr>
    </w:p>
    <w:p>
      <w:pPr>
        <w:rPr>
          <w:rFonts w:hint="default" w:ascii="华文楷体" w:hAnsi="华文楷体" w:eastAsiaTheme="minor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3359104" behindDoc="0" locked="0" layoutInCell="1" allowOverlap="1">
                <wp:simplePos x="0" y="0"/>
                <wp:positionH relativeFrom="column">
                  <wp:posOffset>5791835</wp:posOffset>
                </wp:positionH>
                <wp:positionV relativeFrom="paragraph">
                  <wp:posOffset>1691005</wp:posOffset>
                </wp:positionV>
                <wp:extent cx="742950" cy="238125"/>
                <wp:effectExtent l="12700" t="12700" r="25400" b="15875"/>
                <wp:wrapNone/>
                <wp:docPr id="39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id="右箭头 11" o:spid="_x0000_s1026" o:spt="13" type="#_x0000_t13" style="position:absolute;left:0pt;margin-left:456.05pt;margin-top:133.15pt;height:18.75pt;width:58.5pt;z-index:253359104;mso-width-relative:page;mso-height-relative:page;" fillcolor="#4F81BD [3204]" filled="t" stroked="t" coordsize="21600,21600" o:gfxdata="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Hiv9LaAAAADAEAAA8AAAAAAAAAAQAgAAAAIgAAAGRycy9kb3ducmV2Lnht&#10;bFBLAQIUABQAAAAIAIdO4kA/T+w+9wEAANsDAAAOAAAAAAAAAAEAIAAAACkBAABkcnMvZTJvRG9j&#10;LnhtbFBLBQYAAAAABgAGAFkBAACSBQAAAAA=&#10;" adj="18139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08160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1641475</wp:posOffset>
                </wp:positionV>
                <wp:extent cx="742950" cy="238125"/>
                <wp:effectExtent l="12700" t="12700" r="25400" b="15875"/>
                <wp:wrapNone/>
                <wp:docPr id="26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id="右箭头 11" o:spid="_x0000_s1026" o:spt="13" type="#_x0000_t13" style="position:absolute;left:0pt;margin-left:205.9pt;margin-top:129.25pt;height:18.75pt;width:58.5pt;z-index:252508160;mso-width-relative:page;mso-height-relative:page;" fillcolor="#4F81BD [3204]" filled="t" stroked="t" coordsize="21600,21600" o:gfxdata="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fYdo/aAAAACwEAAA8AAAAAAAAAAQAgAAAAIgAAAGRycy9kb3ducmV2Lnht&#10;bFBLAQIUABQAAAAIAIdO4kBj828m9wEAANsDAAAOAAAAAAAAAAEAIAAAACkBAABkcnMvZTJvRG9j&#10;LnhtbFBLBQYAAAAABgAGAFkBAACSBQAAAAA=&#10;" adj="18139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1883410" cy="3208655"/>
            <wp:effectExtent l="0" t="0" r="2540" b="10795"/>
            <wp:docPr id="3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20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</w:t>
      </w:r>
      <w:r>
        <w:drawing>
          <wp:inline distT="0" distB="0" distL="114300" distR="114300">
            <wp:extent cx="2064385" cy="3121660"/>
            <wp:effectExtent l="0" t="0" r="12065" b="2540"/>
            <wp:docPr id="3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4385" cy="312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</w:t>
      </w:r>
      <w:r>
        <w:drawing>
          <wp:inline distT="0" distB="0" distL="114300" distR="114300">
            <wp:extent cx="2069465" cy="3138170"/>
            <wp:effectExtent l="0" t="0" r="6985" b="5080"/>
            <wp:docPr id="4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313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ind w:firstLine="120" w:firstLineChars="50"/>
        <w:rPr>
          <w:rFonts w:ascii="华文楷体" w:hAnsi="华文楷体" w:eastAsia="华文楷体"/>
          <w:b/>
          <w:bCs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 xml:space="preserve">  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 xml:space="preserve"> 备注</w:t>
      </w:r>
      <w:r>
        <w:rPr>
          <w:rFonts w:ascii="华文楷体" w:hAnsi="华文楷体" w:eastAsia="华文楷体"/>
          <w:b/>
          <w:bCs/>
          <w:sz w:val="24"/>
          <w:szCs w:val="24"/>
        </w:rPr>
        <w:t>：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 xml:space="preserve">   </w:t>
      </w:r>
      <w:r>
        <w:rPr>
          <w:rFonts w:ascii="华文楷体" w:hAnsi="华文楷体" w:eastAsia="华文楷体"/>
          <w:b/>
          <w:bCs/>
          <w:sz w:val="24"/>
          <w:szCs w:val="24"/>
        </w:rPr>
        <w:t>当缴费金额超过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>1万</w:t>
      </w:r>
      <w:r>
        <w:rPr>
          <w:rFonts w:ascii="华文楷体" w:hAnsi="华文楷体" w:eastAsia="华文楷体"/>
          <w:b/>
          <w:bCs/>
          <w:sz w:val="24"/>
          <w:szCs w:val="24"/>
        </w:rPr>
        <w:t>元以上时，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>根据</w:t>
      </w:r>
      <w:r>
        <w:rPr>
          <w:rFonts w:ascii="华文楷体" w:hAnsi="华文楷体" w:eastAsia="华文楷体"/>
          <w:b/>
          <w:bCs/>
          <w:sz w:val="24"/>
          <w:szCs w:val="24"/>
        </w:rPr>
        <w:t>支付宝安全条令需先提款到余额或余额宝后进行支付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>。</w:t>
      </w:r>
    </w:p>
    <w:p>
      <w:pPr>
        <w:spacing w:line="280" w:lineRule="exact"/>
        <w:ind w:firstLine="480" w:firstLineChars="200"/>
        <w:jc w:val="left"/>
        <w:rPr>
          <w:rFonts w:ascii="华文楷体" w:hAnsi="华文楷体" w:eastAsia="华文楷体"/>
          <w:b/>
          <w:bCs/>
          <w:sz w:val="24"/>
          <w:szCs w:val="24"/>
        </w:rPr>
      </w:pPr>
      <w:r>
        <w:rPr>
          <w:rFonts w:hint="eastAsia" w:ascii="华文楷体" w:hAnsi="华文楷体" w:eastAsia="华文楷体"/>
          <w:b/>
          <w:bCs/>
          <w:sz w:val="24"/>
          <w:szCs w:val="24"/>
        </w:rPr>
        <w:t>特别提醒：1.由于系统不支持部分缴费，请学生务必全额缴费。</w:t>
      </w:r>
    </w:p>
    <w:p>
      <w:pPr>
        <w:spacing w:line="280" w:lineRule="exact"/>
        <w:jc w:val="left"/>
        <w:rPr>
          <w:rFonts w:ascii="华文楷体" w:hAnsi="华文楷体" w:eastAsia="华文楷体"/>
          <w:b/>
          <w:bCs/>
          <w:sz w:val="24"/>
          <w:szCs w:val="24"/>
        </w:rPr>
      </w:pPr>
      <w:r>
        <w:rPr>
          <w:rFonts w:hint="eastAsia" w:ascii="华文楷体" w:hAnsi="华文楷体" w:eastAsia="华文楷体"/>
          <w:b/>
          <w:bCs/>
          <w:sz w:val="24"/>
          <w:szCs w:val="24"/>
        </w:rPr>
        <w:t xml:space="preserve">              2.请各位学生通过支付宝</w:t>
      </w:r>
      <w:r>
        <w:rPr>
          <w:rFonts w:hint="eastAsia" w:ascii="华文楷体" w:hAnsi="华文楷体" w:eastAsia="华文楷体"/>
          <w:b/>
          <w:bCs/>
          <w:sz w:val="24"/>
          <w:szCs w:val="24"/>
          <w:lang w:eastAsia="zh-CN"/>
        </w:rPr>
        <w:t>进行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>缴费，计财处不再接受现金缴费。</w:t>
      </w:r>
    </w:p>
    <w:p>
      <w:pPr>
        <w:spacing w:line="280" w:lineRule="exact"/>
        <w:jc w:val="left"/>
        <w:rPr>
          <w:rFonts w:hint="eastAsia" w:ascii="华文楷体" w:hAnsi="华文楷体" w:eastAsia="华文楷体"/>
          <w:b/>
          <w:bCs/>
          <w:sz w:val="24"/>
          <w:szCs w:val="24"/>
        </w:rPr>
      </w:pPr>
      <w:r>
        <w:rPr>
          <w:rFonts w:hint="eastAsia" w:ascii="华文楷体" w:hAnsi="华文楷体" w:eastAsia="华文楷体"/>
          <w:b/>
          <w:bCs/>
          <w:sz w:val="24"/>
          <w:szCs w:val="24"/>
        </w:rPr>
        <w:t xml:space="preserve">         </w:t>
      </w:r>
      <w:r>
        <w:rPr>
          <w:rFonts w:hint="eastAsia" w:ascii="华文楷体" w:hAnsi="华文楷体" w:eastAsia="华文楷体"/>
          <w:b/>
          <w:bCs/>
          <w:sz w:val="24"/>
          <w:szCs w:val="24"/>
          <w:lang w:val="en-US" w:eastAsia="zh-CN"/>
        </w:rPr>
        <w:t xml:space="preserve">     3.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>本系统实行按需开票</w:t>
      </w:r>
      <w:r>
        <w:rPr>
          <w:rFonts w:hint="eastAsia" w:ascii="华文楷体" w:hAnsi="华文楷体" w:eastAsia="华文楷体"/>
          <w:b/>
          <w:bCs/>
          <w:sz w:val="24"/>
          <w:szCs w:val="24"/>
          <w:lang w:eastAsia="zh-CN"/>
        </w:rPr>
        <w:t>，学杂费已开通电子票据，有需要的学生在缴费成功</w:t>
      </w:r>
      <w:bookmarkStart w:id="0" w:name="_GoBack"/>
      <w:bookmarkEnd w:id="0"/>
      <w:r>
        <w:rPr>
          <w:rFonts w:hint="eastAsia" w:ascii="华文楷体" w:hAnsi="华文楷体" w:eastAsia="华文楷体"/>
          <w:b/>
          <w:bCs/>
          <w:sz w:val="24"/>
          <w:szCs w:val="24"/>
          <w:lang w:eastAsia="zh-CN"/>
        </w:rPr>
        <w:t>后可以按收到缴费短信上的网址自行打印发票。</w:t>
      </w:r>
    </w:p>
    <w:p>
      <w:pPr>
        <w:spacing w:line="280" w:lineRule="exact"/>
        <w:jc w:val="left"/>
        <w:rPr>
          <w:rFonts w:hint="default" w:ascii="华文楷体" w:hAnsi="华文楷体" w:eastAsia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/>
          <w:b/>
          <w:bCs/>
          <w:sz w:val="24"/>
          <w:szCs w:val="24"/>
          <w:lang w:val="en-US" w:eastAsia="zh-CN"/>
        </w:rPr>
        <w:t xml:space="preserve">              </w:t>
      </w:r>
    </w:p>
    <w:p>
      <w:pPr>
        <w:spacing w:line="280" w:lineRule="exact"/>
        <w:jc w:val="left"/>
        <w:rPr>
          <w:rFonts w:hint="default" w:ascii="华文楷体" w:hAnsi="华文楷体" w:eastAsia="华文楷体"/>
          <w:sz w:val="30"/>
          <w:szCs w:val="30"/>
          <w:lang w:val="en-US"/>
        </w:rPr>
        <w:sectPr>
          <w:pgSz w:w="16838" w:h="11906" w:orient="landscape"/>
          <w:pgMar w:top="680" w:right="567" w:bottom="680" w:left="567" w:header="851" w:footer="992" w:gutter="0"/>
          <w:cols w:space="425" w:num="1"/>
          <w:docGrid w:type="lines" w:linePitch="312" w:charSpace="0"/>
        </w:sectPr>
      </w:pPr>
      <w:r>
        <w:rPr>
          <w:rFonts w:hint="eastAsia" w:ascii="华文楷体" w:hAnsi="华文楷体" w:eastAsia="华文楷体"/>
          <w:b/>
          <w:bCs/>
          <w:sz w:val="24"/>
          <w:szCs w:val="24"/>
          <w:lang w:val="en-US" w:eastAsia="zh-CN"/>
        </w:rPr>
        <w:t xml:space="preserve">          </w:t>
      </w:r>
    </w:p>
    <w:p>
      <w:pPr>
        <w:spacing w:before="156" w:beforeLines="50" w:after="156" w:afterLines="50" w:line="320" w:lineRule="exact"/>
        <w:ind w:firstLine="1320" w:firstLineChars="300"/>
        <w:jc w:val="both"/>
        <w:rPr>
          <w:rFonts w:hint="eastAsia" w:ascii="宋体" w:hAnsi="宋体" w:eastAsia="宋体" w:cs="Times New Roman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b/>
          <w:bCs w:val="0"/>
          <w:sz w:val="44"/>
          <w:szCs w:val="44"/>
          <w:lang w:val="en-US" w:eastAsia="zh-CN"/>
        </w:rPr>
        <w:t>2020年2020级新生缴费标准</w:t>
      </w:r>
    </w:p>
    <w:p>
      <w:pPr>
        <w:numPr>
          <w:ilvl w:val="0"/>
          <w:numId w:val="2"/>
        </w:numPr>
        <w:spacing w:before="156" w:beforeLines="50" w:after="156" w:afterLines="50" w:line="320" w:lineRule="exact"/>
        <w:rPr>
          <w:rFonts w:hint="eastAsia" w:ascii="宋体" w:hAnsi="宋体" w:eastAsia="宋体" w:cs="Times New Roman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Cs/>
          <w:sz w:val="28"/>
          <w:szCs w:val="28"/>
          <w:lang w:val="en-US" w:eastAsia="zh-CN"/>
        </w:rPr>
        <w:t>缴费项目与标准</w:t>
      </w:r>
    </w:p>
    <w:p>
      <w:pPr>
        <w:numPr>
          <w:ilvl w:val="0"/>
          <w:numId w:val="0"/>
        </w:numPr>
        <w:spacing w:before="156" w:beforeLines="50" w:after="156" w:afterLines="50" w:line="320" w:lineRule="exact"/>
        <w:rPr>
          <w:rFonts w:hint="default" w:ascii="宋体" w:hAnsi="宋体" w:eastAsia="宋体" w:cs="Times New Roman"/>
          <w:bCs/>
          <w:szCs w:val="21"/>
          <w:lang w:val="en-US" w:eastAsia="zh-CN"/>
        </w:rPr>
      </w:pPr>
      <w:r>
        <w:rPr>
          <w:rFonts w:hint="eastAsia" w:ascii="宋体" w:hAnsi="宋体" w:eastAsia="宋体" w:cs="Times New Roman"/>
          <w:bCs/>
          <w:sz w:val="28"/>
          <w:szCs w:val="28"/>
          <w:lang w:val="en-US" w:eastAsia="zh-CN"/>
        </w:rPr>
        <w:t>经物价部门核准，我院学生的收费项目和标准如下</w:t>
      </w:r>
      <w:r>
        <w:rPr>
          <w:rFonts w:hint="eastAsia" w:ascii="宋体" w:hAnsi="宋体" w:eastAsia="宋体" w:cs="Times New Roman"/>
          <w:bCs/>
          <w:szCs w:val="21"/>
          <w:lang w:val="en-US" w:eastAsia="zh-CN"/>
        </w:rPr>
        <w:t>：</w:t>
      </w:r>
    </w:p>
    <w:tbl>
      <w:tblPr>
        <w:tblStyle w:val="4"/>
        <w:tblW w:w="833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1323"/>
        <w:gridCol w:w="1920"/>
        <w:gridCol w:w="1154"/>
        <w:gridCol w:w="7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一、缴费项目与标准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收费专业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计费单位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学费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住宿费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代管费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园艺技术</w:t>
            </w:r>
          </w:p>
        </w:tc>
        <w:tc>
          <w:tcPr>
            <w:tcW w:w="132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元/生/年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6300</w:t>
            </w:r>
          </w:p>
        </w:tc>
        <w:tc>
          <w:tcPr>
            <w:tcW w:w="11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住宿费标准如下：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default" w:ascii="宋体" w:hAnsi="宋体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白云校区4人间1600元/人/年；  6人间1200元/人/年；（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新生按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1200元/人/学年预收取，到校后按实际住宿情况多退少补） 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 xml:space="preserve"> 绿谷校区均按1600元/人/年  收取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绿色食品生产与检验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(浙江省户籍免学费)</w:t>
            </w: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林业技术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投资与理财</w:t>
            </w:r>
          </w:p>
        </w:tc>
        <w:tc>
          <w:tcPr>
            <w:tcW w:w="132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元/生/年</w:t>
            </w:r>
          </w:p>
        </w:tc>
        <w:tc>
          <w:tcPr>
            <w:tcW w:w="19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税务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文秘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汽车营销与服务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社会体育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园林技术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元/生/年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6300</w:t>
            </w: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园林工程技术</w:t>
            </w:r>
          </w:p>
        </w:tc>
        <w:tc>
          <w:tcPr>
            <w:tcW w:w="132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元/生/年</w:t>
            </w:r>
          </w:p>
        </w:tc>
        <w:tc>
          <w:tcPr>
            <w:tcW w:w="192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6600</w:t>
            </w: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工程测量技术</w:t>
            </w:r>
          </w:p>
        </w:tc>
        <w:tc>
          <w:tcPr>
            <w:tcW w:w="132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132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模具设计与制造</w:t>
            </w:r>
          </w:p>
        </w:tc>
        <w:tc>
          <w:tcPr>
            <w:tcW w:w="132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132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大数据技术与应用</w:t>
            </w:r>
          </w:p>
        </w:tc>
        <w:tc>
          <w:tcPr>
            <w:tcW w:w="132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电子信息工程技术</w:t>
            </w:r>
          </w:p>
        </w:tc>
        <w:tc>
          <w:tcPr>
            <w:tcW w:w="132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工业机器人技术</w:t>
            </w:r>
          </w:p>
        </w:tc>
        <w:tc>
          <w:tcPr>
            <w:tcW w:w="1323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32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元/生/年</w:t>
            </w:r>
          </w:p>
        </w:tc>
        <w:tc>
          <w:tcPr>
            <w:tcW w:w="19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6900</w:t>
            </w: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132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元/生/年</w:t>
            </w:r>
          </w:p>
        </w:tc>
        <w:tc>
          <w:tcPr>
            <w:tcW w:w="19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7590</w:t>
            </w: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建筑室内设计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艺术设计</w:t>
            </w:r>
          </w:p>
        </w:tc>
        <w:tc>
          <w:tcPr>
            <w:tcW w:w="132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元/生/年</w:t>
            </w:r>
          </w:p>
        </w:tc>
        <w:tc>
          <w:tcPr>
            <w:tcW w:w="19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9000</w:t>
            </w: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400" w:lineRule="exact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注：代管费1000元按学年结算，多退少补。</w:t>
      </w:r>
      <w:r>
        <w:rPr>
          <w:rFonts w:hint="eastAsia" w:ascii="宋体" w:hAnsi="宋体" w:eastAsia="宋体" w:cs="Times New Roman"/>
          <w:bCs/>
          <w:szCs w:val="21"/>
          <w:lang w:eastAsia="zh-CN"/>
        </w:rPr>
        <w:t>白云校区新生住宿费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1200元/人/年预收取，到校后按实际住宿情况多退少补。绿谷校区均按1600元/人/学年收取</w:t>
      </w:r>
      <w:r>
        <w:rPr>
          <w:rFonts w:hint="eastAsia" w:ascii="宋体" w:hAnsi="宋体" w:eastAsia="宋体" w:cs="Times New Roman"/>
          <w:bCs/>
          <w:szCs w:val="21"/>
          <w:lang w:eastAsia="zh-CN"/>
        </w:rPr>
        <w:t>，</w:t>
      </w:r>
      <w:r>
        <w:rPr>
          <w:rFonts w:hint="eastAsia"/>
          <w:szCs w:val="21"/>
        </w:rPr>
        <w:t>缴费流程等</w:t>
      </w:r>
      <w:r>
        <w:rPr>
          <w:rFonts w:hint="eastAsia" w:ascii="Times New Roman" w:hAnsi="Times New Roman" w:eastAsia="宋体" w:cs="Times New Roman"/>
          <w:szCs w:val="21"/>
        </w:rPr>
        <w:t>具体事项可登录丽水职业技术学院网站</w:t>
      </w:r>
      <w:r>
        <w:fldChar w:fldCharType="begin"/>
      </w:r>
      <w:r>
        <w:instrText xml:space="preserve"> HYPERLINK "http://www.lszjy.com" </w:instrText>
      </w:r>
      <w:r>
        <w:fldChar w:fldCharType="separate"/>
      </w:r>
      <w:r>
        <w:rPr>
          <w:rFonts w:ascii="Times New Roman" w:hAnsi="Times New Roman" w:eastAsia="宋体" w:cs="Times New Roman"/>
          <w:color w:val="0000FF"/>
          <w:szCs w:val="21"/>
          <w:u w:val="single"/>
        </w:rPr>
        <w:t>http://www.lszjy.com</w:t>
      </w:r>
      <w:r>
        <w:rPr>
          <w:rFonts w:ascii="Times New Roman" w:hAnsi="Times New Roman" w:eastAsia="宋体" w:cs="Times New Roman"/>
          <w:color w:val="0000FF"/>
          <w:szCs w:val="21"/>
          <w:u w:val="single"/>
        </w:rPr>
        <w:fldChar w:fldCharType="end"/>
      </w:r>
      <w:r>
        <w:rPr>
          <w:rFonts w:hint="eastAsia" w:ascii="Times New Roman" w:hAnsi="Times New Roman" w:eastAsia="宋体" w:cs="Times New Roman"/>
          <w:szCs w:val="21"/>
        </w:rPr>
        <w:t>点校内部门链接中的</w:t>
      </w:r>
      <w:r>
        <w:rPr>
          <w:rFonts w:hint="eastAsia" w:ascii="Times New Roman" w:hAnsi="Times New Roman" w:eastAsia="宋体" w:cs="Times New Roman"/>
          <w:b/>
          <w:szCs w:val="21"/>
        </w:rPr>
        <w:t>计财处</w:t>
      </w:r>
      <w:r>
        <w:rPr>
          <w:rFonts w:hint="eastAsia" w:ascii="Times New Roman" w:hAnsi="Times New Roman" w:eastAsia="宋体" w:cs="Times New Roman"/>
          <w:szCs w:val="21"/>
        </w:rPr>
        <w:t>查询。</w:t>
      </w:r>
    </w:p>
    <w:p>
      <w:pPr>
        <w:spacing w:line="400" w:lineRule="exact"/>
        <w:outlineLvl w:val="0"/>
        <w:rPr>
          <w:rFonts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二、缴费开始时间</w:t>
      </w:r>
    </w:p>
    <w:p>
      <w:pPr>
        <w:spacing w:line="400" w:lineRule="exact"/>
        <w:outlineLvl w:val="0"/>
        <w:rPr>
          <w:rFonts w:ascii="宋体" w:hAnsi="宋体" w:eastAsia="宋体" w:cs="Times New Roman"/>
          <w:color w:val="FF0000"/>
          <w:szCs w:val="21"/>
        </w:rPr>
      </w:pPr>
      <w:r>
        <w:rPr>
          <w:rFonts w:hint="eastAsia" w:ascii="宋体" w:hAnsi="宋体" w:eastAsia="宋体" w:cs="Times New Roman"/>
          <w:color w:val="FF0000"/>
          <w:szCs w:val="21"/>
        </w:rPr>
        <w:t xml:space="preserve"> 20</w:t>
      </w:r>
      <w:r>
        <w:rPr>
          <w:rFonts w:hint="eastAsia" w:ascii="宋体" w:hAnsi="宋体" w:eastAsia="宋体" w:cs="Times New Roman"/>
          <w:color w:val="FF0000"/>
          <w:szCs w:val="21"/>
          <w:lang w:val="en-US" w:eastAsia="zh-CN"/>
        </w:rPr>
        <w:t>20</w:t>
      </w:r>
      <w:r>
        <w:rPr>
          <w:rFonts w:hint="eastAsia" w:ascii="宋体" w:hAnsi="宋体" w:eastAsia="宋体" w:cs="Times New Roman"/>
          <w:color w:val="FF0000"/>
          <w:szCs w:val="21"/>
        </w:rPr>
        <w:t>年</w:t>
      </w:r>
      <w:r>
        <w:rPr>
          <w:rFonts w:hint="eastAsia" w:ascii="宋体" w:hAnsi="宋体" w:eastAsia="宋体" w:cs="Times New Roman"/>
          <w:color w:val="FF0000"/>
          <w:szCs w:val="21"/>
          <w:lang w:val="en-US" w:eastAsia="zh-CN"/>
        </w:rPr>
        <w:t>10</w:t>
      </w:r>
      <w:r>
        <w:rPr>
          <w:rFonts w:hint="eastAsia" w:ascii="宋体" w:hAnsi="宋体" w:eastAsia="宋体" w:cs="Times New Roman"/>
          <w:color w:val="FF0000"/>
          <w:szCs w:val="21"/>
        </w:rPr>
        <w:t>月</w:t>
      </w:r>
      <w:r>
        <w:rPr>
          <w:rFonts w:hint="eastAsia" w:ascii="宋体" w:hAnsi="宋体" w:eastAsia="宋体" w:cs="Times New Roman"/>
          <w:color w:val="FF0000"/>
          <w:szCs w:val="21"/>
          <w:lang w:val="en-US" w:eastAsia="zh-CN"/>
        </w:rPr>
        <w:t>1</w:t>
      </w:r>
      <w:r>
        <w:rPr>
          <w:rFonts w:hint="eastAsia" w:ascii="宋体" w:hAnsi="宋体" w:eastAsia="宋体" w:cs="Times New Roman"/>
          <w:color w:val="FF0000"/>
          <w:szCs w:val="21"/>
        </w:rPr>
        <w:t>起——报到注册前止</w:t>
      </w:r>
    </w:p>
    <w:p>
      <w:pPr>
        <w:spacing w:line="400" w:lineRule="exact"/>
        <w:outlineLvl w:val="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                                           丽水职业技术学院计财处 </w:t>
      </w:r>
    </w:p>
    <w:p>
      <w:pPr>
        <w:spacing w:line="360" w:lineRule="auto"/>
        <w:ind w:left="6223" w:leftChars="2768" w:hanging="411" w:hangingChars="196"/>
        <w:outlineLvl w:val="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 xml:space="preserve">                                               </w:t>
      </w:r>
    </w:p>
    <w:sectPr>
      <w:headerReference r:id="rId3" w:type="default"/>
      <w:pgSz w:w="11906" w:h="16838"/>
      <w:pgMar w:top="232" w:right="1134" w:bottom="346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99D161"/>
    <w:multiLevelType w:val="singleLevel"/>
    <w:tmpl w:val="A599D1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056B5FB"/>
    <w:multiLevelType w:val="singleLevel"/>
    <w:tmpl w:val="5056B5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2B"/>
    <w:rsid w:val="00042517"/>
    <w:rsid w:val="00060849"/>
    <w:rsid w:val="000702FE"/>
    <w:rsid w:val="001833CF"/>
    <w:rsid w:val="00190A0F"/>
    <w:rsid w:val="00196B04"/>
    <w:rsid w:val="002110A6"/>
    <w:rsid w:val="00242417"/>
    <w:rsid w:val="00252719"/>
    <w:rsid w:val="002953FD"/>
    <w:rsid w:val="002E1CF2"/>
    <w:rsid w:val="002E4250"/>
    <w:rsid w:val="00455313"/>
    <w:rsid w:val="004601AD"/>
    <w:rsid w:val="00464979"/>
    <w:rsid w:val="004723E7"/>
    <w:rsid w:val="00472705"/>
    <w:rsid w:val="004B16B4"/>
    <w:rsid w:val="00551E54"/>
    <w:rsid w:val="0058652B"/>
    <w:rsid w:val="006F48B2"/>
    <w:rsid w:val="00732598"/>
    <w:rsid w:val="00762706"/>
    <w:rsid w:val="00793B58"/>
    <w:rsid w:val="007970F6"/>
    <w:rsid w:val="008944EE"/>
    <w:rsid w:val="008D36A9"/>
    <w:rsid w:val="008F3D8B"/>
    <w:rsid w:val="00924C1D"/>
    <w:rsid w:val="00945EC7"/>
    <w:rsid w:val="009761C0"/>
    <w:rsid w:val="00980637"/>
    <w:rsid w:val="009E482B"/>
    <w:rsid w:val="00A24172"/>
    <w:rsid w:val="00AC289D"/>
    <w:rsid w:val="00B837B7"/>
    <w:rsid w:val="00C16428"/>
    <w:rsid w:val="00C370A7"/>
    <w:rsid w:val="00C6660F"/>
    <w:rsid w:val="00C87BD5"/>
    <w:rsid w:val="00CE3904"/>
    <w:rsid w:val="00D829DE"/>
    <w:rsid w:val="00DD3216"/>
    <w:rsid w:val="00DD62B5"/>
    <w:rsid w:val="00DE3F13"/>
    <w:rsid w:val="00DF141D"/>
    <w:rsid w:val="00EC1CF0"/>
    <w:rsid w:val="00F134DD"/>
    <w:rsid w:val="00F16E1D"/>
    <w:rsid w:val="00F460F6"/>
    <w:rsid w:val="00F65C0A"/>
    <w:rsid w:val="00F80A9D"/>
    <w:rsid w:val="00FC2C8F"/>
    <w:rsid w:val="00FD13FF"/>
    <w:rsid w:val="08A165B6"/>
    <w:rsid w:val="08A57E85"/>
    <w:rsid w:val="0DF67504"/>
    <w:rsid w:val="12C24C54"/>
    <w:rsid w:val="152B6E30"/>
    <w:rsid w:val="23B3677A"/>
    <w:rsid w:val="317A49BA"/>
    <w:rsid w:val="37FF7D78"/>
    <w:rsid w:val="40406483"/>
    <w:rsid w:val="461763FB"/>
    <w:rsid w:val="48950DFB"/>
    <w:rsid w:val="50D42B7F"/>
    <w:rsid w:val="52532C55"/>
    <w:rsid w:val="5AD46E59"/>
    <w:rsid w:val="7354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B3A4CD-7F1B-4200-8381-A759D68AE8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339</Words>
  <Characters>1934</Characters>
  <Lines>16</Lines>
  <Paragraphs>4</Paragraphs>
  <TotalTime>0</TotalTime>
  <ScaleCrop>false</ScaleCrop>
  <LinksUpToDate>false</LinksUpToDate>
  <CharactersWithSpaces>2269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2018-06-21T23:58:00Z</dcterms:created>
  <dc:creator>lszjy012</dc:creator>
  <cp:lastModifiedBy>Administrator</cp:lastModifiedBy>
  <dcterms:modified xsi:type="dcterms:W3CDTF">2020-08-24T00:53:17Z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