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丽水职业技术学院计划财务处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关于印发《工作人员差旅费管理规定》的通知</w:t>
      </w: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ascii="宋体" w:hAnsi="宋体" w:eastAsia="宋体" w:cs="宋体"/>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w:t>
      </w:r>
      <w:bookmarkStart w:id="0" w:name="br1_0"/>
      <w:bookmarkEnd w:id="0"/>
      <w:r>
        <w:rPr>
          <w:rFonts w:hint="eastAsia" w:ascii="宋体" w:hAnsi="宋体" w:eastAsia="宋体" w:cs="宋体"/>
          <w:sz w:val="28"/>
          <w:szCs w:val="28"/>
        </w:rPr>
        <w:t>一章 总 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第一条 为加强</w:t>
      </w:r>
      <w:r>
        <w:rPr>
          <w:rFonts w:hint="eastAsia" w:ascii="宋体" w:hAnsi="宋体" w:eastAsia="宋体" w:cs="宋体"/>
          <w:sz w:val="28"/>
          <w:szCs w:val="28"/>
          <w:lang w:eastAsia="zh-CN"/>
        </w:rPr>
        <w:t>学校财务管理，规范财务收支行为，保障各项工作的正常开展，</w:t>
      </w:r>
      <w:r>
        <w:rPr>
          <w:rFonts w:hint="eastAsia" w:ascii="宋体" w:hAnsi="宋体" w:eastAsia="宋体" w:cs="宋体"/>
          <w:sz w:val="28"/>
          <w:szCs w:val="28"/>
        </w:rPr>
        <w:t>依据《党政机关厉行节约反对浪费条例》以及财政部差旅费管理相关规定等，制定本规定。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rPr>
        <w:t>第二条 本</w:t>
      </w:r>
      <w:r>
        <w:rPr>
          <w:rFonts w:hint="eastAsia" w:ascii="宋体" w:hAnsi="宋体" w:eastAsia="宋体" w:cs="宋体"/>
          <w:sz w:val="28"/>
          <w:szCs w:val="28"/>
          <w:lang w:eastAsia="zh-CN"/>
        </w:rPr>
        <w:t>制度</w:t>
      </w:r>
      <w:r>
        <w:rPr>
          <w:rFonts w:hint="eastAsia" w:ascii="宋体" w:hAnsi="宋体" w:eastAsia="宋体" w:cs="宋体"/>
          <w:sz w:val="28"/>
          <w:szCs w:val="28"/>
        </w:rPr>
        <w:t>适用于</w:t>
      </w:r>
      <w:r>
        <w:rPr>
          <w:rFonts w:hint="eastAsia" w:ascii="宋体" w:hAnsi="宋体" w:eastAsia="宋体" w:cs="宋体"/>
          <w:sz w:val="28"/>
          <w:szCs w:val="28"/>
          <w:lang w:eastAsia="zh-CN"/>
        </w:rPr>
        <w:t>丽水职业技术学院全体师生</w:t>
      </w:r>
      <w:r>
        <w:rPr>
          <w:rFonts w:hint="eastAsia" w:ascii="宋体" w:hAnsi="宋体" w:eastAsia="宋体" w:cs="宋体"/>
          <w:sz w:val="28"/>
          <w:szCs w:val="28"/>
          <w:highlight w:val="none"/>
          <w:lang w:eastAsia="zh-CN"/>
        </w:rPr>
        <w:t>发生的各项公务活动。（包括科研团队成员）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第三条 差旅费是指单位工作人员临时到常驻地（设区市含所有市辖区，下同）以外地区公务出差所发生的城市间交通费、住宿费、伙食补助费和公杂费。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第四条 各</w:t>
      </w:r>
      <w:r>
        <w:rPr>
          <w:rFonts w:hint="eastAsia" w:ascii="宋体" w:hAnsi="宋体" w:eastAsia="宋体" w:cs="宋体"/>
          <w:sz w:val="28"/>
          <w:szCs w:val="28"/>
          <w:lang w:eastAsia="zh-CN"/>
        </w:rPr>
        <w:t>部门负责人</w:t>
      </w:r>
      <w:r>
        <w:rPr>
          <w:rFonts w:hint="eastAsia" w:ascii="宋体" w:hAnsi="宋体" w:eastAsia="宋体" w:cs="宋体"/>
          <w:sz w:val="28"/>
          <w:szCs w:val="28"/>
        </w:rPr>
        <w:t>应</w:t>
      </w:r>
      <w:r>
        <w:rPr>
          <w:rFonts w:hint="eastAsia" w:ascii="宋体" w:hAnsi="宋体" w:eastAsia="宋体" w:cs="宋体"/>
          <w:sz w:val="28"/>
          <w:szCs w:val="28"/>
          <w:lang w:eastAsia="zh-CN"/>
        </w:rPr>
        <w:t>严格出差事前</w:t>
      </w:r>
      <w:r>
        <w:rPr>
          <w:rFonts w:hint="eastAsia" w:ascii="宋体" w:hAnsi="宋体" w:eastAsia="宋体" w:cs="宋体"/>
          <w:sz w:val="28"/>
          <w:szCs w:val="28"/>
        </w:rPr>
        <w:t>审批</w:t>
      </w:r>
      <w:r>
        <w:rPr>
          <w:rFonts w:hint="eastAsia" w:ascii="宋体" w:hAnsi="宋体" w:eastAsia="宋体" w:cs="宋体"/>
          <w:sz w:val="28"/>
          <w:szCs w:val="28"/>
          <w:lang w:eastAsia="zh-CN"/>
        </w:rPr>
        <w:t>管理</w:t>
      </w:r>
      <w:r>
        <w:rPr>
          <w:rFonts w:hint="eastAsia" w:ascii="宋体" w:hAnsi="宋体" w:eastAsia="宋体" w:cs="宋体"/>
          <w:sz w:val="28"/>
          <w:szCs w:val="28"/>
        </w:rPr>
        <w:t>，从严控制出差人数和天数，控制差旅费支出规模。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 xml:space="preserve">第五条 </w:t>
      </w:r>
      <w:r>
        <w:rPr>
          <w:rFonts w:hint="eastAsia" w:ascii="宋体" w:hAnsi="宋体" w:eastAsia="宋体" w:cs="宋体"/>
          <w:sz w:val="28"/>
          <w:szCs w:val="28"/>
          <w:lang w:eastAsia="zh-CN"/>
        </w:rPr>
        <w:t>学校差旅费管理的基本原则：严格遵守国家有关法律、法规和财务规章制度，厉行节约，反对浪费，努力提高资金使用效率效果。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第二章 城市间交通费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第六条 城市间交通费是指工作人员到常驻地以外地区公务出差乘坐火车、</w:t>
      </w:r>
      <w:r>
        <w:rPr>
          <w:rFonts w:hint="eastAsia" w:ascii="宋体" w:hAnsi="宋体" w:eastAsia="宋体" w:cs="宋体"/>
          <w:sz w:val="28"/>
          <w:szCs w:val="28"/>
          <w:lang w:eastAsia="zh-CN"/>
        </w:rPr>
        <w:t>动车、高铁、</w:t>
      </w:r>
      <w:r>
        <w:rPr>
          <w:rFonts w:hint="eastAsia" w:ascii="宋体" w:hAnsi="宋体" w:eastAsia="宋体" w:cs="宋体"/>
          <w:sz w:val="28"/>
          <w:szCs w:val="28"/>
        </w:rPr>
        <w:t>轮船、飞机、客车等公共交通工具所发生的城市间交通费用。</w:t>
      </w:r>
      <w:r>
        <w:rPr>
          <w:rFonts w:hint="eastAsia" w:ascii="宋体" w:hAnsi="宋体" w:eastAsia="宋体" w:cs="宋体"/>
          <w:sz w:val="28"/>
          <w:szCs w:val="28"/>
          <w:lang w:eastAsia="zh-CN"/>
        </w:rPr>
        <w:t>经单位部门负责人批准发生的签转或退票费等凭据报销。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第七条 出差人员应严守各项纪律规定，在规定等级内选择乘坐公共交通工具。各级别人员乘坐公共交通工具等级详见下表：</w:t>
      </w:r>
    </w:p>
    <w:tbl>
      <w:tblPr>
        <w:tblStyle w:val="3"/>
        <w:tblW w:w="9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595"/>
        <w:gridCol w:w="3900"/>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Merge w:val="restart"/>
            <w:vAlign w:val="center"/>
          </w:tcPr>
          <w:p>
            <w:pPr>
              <w:pStyle w:val="22"/>
              <w:widowControl w:val="0"/>
              <w:spacing w:before="0" w:after="0" w:line="241" w:lineRule="exact"/>
              <w:ind w:left="44" w:right="0" w:firstLine="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w:t>
            </w:r>
            <w:r>
              <w:rPr>
                <w:rStyle w:val="4"/>
                <w:rFonts w:hint="eastAsia" w:ascii="宋体" w:hAnsi="宋体" w:eastAsia="宋体" w:cs="宋体"/>
                <w:color w:val="000000"/>
                <w:spacing w:val="-32"/>
                <w:sz w:val="24"/>
                <w:szCs w:val="24"/>
                <w:lang w:val="en-US" w:eastAsia="en-US" w:bidi="ar-SA"/>
              </w:rPr>
              <w:t>1</w:t>
            </w:r>
            <w:r>
              <w:rPr>
                <w:rStyle w:val="4"/>
                <w:rFonts w:hint="eastAsia" w:ascii="宋体" w:hAnsi="宋体" w:eastAsia="宋体" w:cs="宋体"/>
                <w:color w:val="000000"/>
                <w:spacing w:val="-24"/>
                <w:sz w:val="24"/>
                <w:szCs w:val="24"/>
                <w:lang w:val="en-US" w:eastAsia="en-US" w:bidi="ar-SA"/>
              </w:rPr>
              <w:t>）火车</w:t>
            </w:r>
            <w:r>
              <w:rPr>
                <w:rStyle w:val="4"/>
                <w:rFonts w:hint="eastAsia" w:ascii="宋体" w:hAnsi="宋体" w:eastAsia="宋体" w:cs="宋体"/>
                <w:color w:val="000000"/>
                <w:spacing w:val="-10"/>
                <w:sz w:val="24"/>
                <w:szCs w:val="24"/>
                <w:lang w:val="en-US" w:eastAsia="en-US" w:bidi="ar-SA"/>
              </w:rPr>
              <w:t>（含高铁、</w:t>
            </w:r>
            <w:r>
              <w:rPr>
                <w:rStyle w:val="4"/>
                <w:rFonts w:hint="eastAsia" w:ascii="宋体" w:hAnsi="宋体" w:eastAsia="宋体" w:cs="宋体"/>
                <w:color w:val="000000"/>
                <w:spacing w:val="-21"/>
                <w:sz w:val="24"/>
                <w:szCs w:val="24"/>
                <w:lang w:val="en-US" w:eastAsia="en-US" w:bidi="ar-SA"/>
              </w:rPr>
              <w:t>动车、全列</w:t>
            </w:r>
            <w:r>
              <w:rPr>
                <w:rStyle w:val="4"/>
                <w:rFonts w:hint="eastAsia" w:ascii="宋体" w:hAnsi="宋体" w:eastAsia="宋体" w:cs="宋体"/>
                <w:color w:val="000000"/>
                <w:spacing w:val="-6"/>
                <w:sz w:val="24"/>
                <w:szCs w:val="24"/>
                <w:lang w:val="en-US" w:eastAsia="en-US" w:bidi="ar-SA"/>
              </w:rPr>
              <w:t>软席列车）</w:t>
            </w:r>
          </w:p>
        </w:tc>
        <w:tc>
          <w:tcPr>
            <w:tcW w:w="2595"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正副厅长及相当职级人员</w:t>
            </w:r>
          </w:p>
        </w:tc>
        <w:tc>
          <w:tcPr>
            <w:tcW w:w="3900"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软席（软座、软卧），高铁/动车一等座，全软席列车一等软座</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2595"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其余人员</w:t>
            </w:r>
          </w:p>
        </w:tc>
        <w:tc>
          <w:tcPr>
            <w:tcW w:w="3900"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硬席（硬座、硬卧），高铁/动车二等座，全软席列车二等软座</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Merge w:val="restart"/>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（2）轮船（不含旅游船）</w:t>
            </w:r>
          </w:p>
        </w:tc>
        <w:tc>
          <w:tcPr>
            <w:tcW w:w="2595"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正副厅长及相当职级人员</w:t>
            </w:r>
          </w:p>
        </w:tc>
        <w:tc>
          <w:tcPr>
            <w:tcW w:w="3900"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二等舱</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2595"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其余人员</w:t>
            </w:r>
          </w:p>
        </w:tc>
        <w:tc>
          <w:tcPr>
            <w:tcW w:w="39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三等舱</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Merge w:val="restart"/>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（3）飞机</w:t>
            </w:r>
          </w:p>
        </w:tc>
        <w:tc>
          <w:tcPr>
            <w:tcW w:w="2595"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省级及相当职级人员</w:t>
            </w:r>
          </w:p>
        </w:tc>
        <w:tc>
          <w:tcPr>
            <w:tcW w:w="3900" w:type="dxa"/>
            <w:vAlign w:val="center"/>
          </w:tcPr>
          <w:p>
            <w:pPr>
              <w:keepNext w:val="0"/>
              <w:keepLines w:val="0"/>
              <w:widowControl/>
              <w:suppressLineNumbers w:val="0"/>
              <w:jc w:val="center"/>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头等舱</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color w:val="000000"/>
                <w:kern w:val="0"/>
                <w:sz w:val="24"/>
                <w:szCs w:val="24"/>
                <w:lang w:val="en-US" w:eastAsia="zh-CN" w:bidi="ar"/>
              </w:rPr>
              <w:t>其余人员</w:t>
            </w:r>
          </w:p>
        </w:tc>
        <w:tc>
          <w:tcPr>
            <w:tcW w:w="39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经济舱</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vertAlign w:val="baseli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省级及相当职级人员公务出差，因工作需要，随行一人可乘坐同等级公共交通工具。未按规定等级乘坐交通工具的，超支部分由个人自理。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第八条 到出差目的地有多种公共交通工具可选择时，出差人员在不影响公务、确保安全的前提下，应当选乘相对经济便捷的公共交通工具。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第九条 出差人员乘坐飞机的，需按《浙江省财政厅关于加强浙江省公务机票购买管理有关事项的通知》（浙财采监〔2014〕27 号）要求购买机票。乘坐飞机的民航发展基金、燃油附加费可凭据报销。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第十条 </w:t>
      </w:r>
      <w:r>
        <w:rPr>
          <w:rFonts w:hint="eastAsia" w:ascii="宋体" w:hAnsi="宋体" w:eastAsia="宋体" w:cs="宋体"/>
          <w:sz w:val="28"/>
          <w:szCs w:val="28"/>
          <w:lang w:val="en-US" w:eastAsia="zh-CN"/>
        </w:rPr>
        <w:t>丽水市域范围内各县</w:t>
      </w:r>
      <w:r>
        <w:rPr>
          <w:rFonts w:hint="default" w:ascii="宋体" w:hAnsi="宋体" w:eastAsia="宋体" w:cs="宋体"/>
          <w:sz w:val="28"/>
          <w:szCs w:val="28"/>
          <w:lang w:val="en-US" w:eastAsia="zh-CN"/>
        </w:rPr>
        <w:t>（市）城市间交通费试行包干政策，在包干区域内公务出差，可以按差旅费规定据实报销城市间交通费，也可以按出差审批单批准的出发地（市、县政府所在地）的公共交通相应等级票价金额包干城市间交通费。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w:t>
      </w:r>
      <w:bookmarkStart w:id="1" w:name="br1_2"/>
      <w:bookmarkEnd w:id="1"/>
      <w:r>
        <w:rPr>
          <w:rFonts w:hint="eastAsia" w:ascii="宋体" w:hAnsi="宋体" w:eastAsia="宋体" w:cs="宋体"/>
          <w:sz w:val="28"/>
          <w:szCs w:val="28"/>
          <w:lang w:val="en-US" w:eastAsia="zh-CN"/>
        </w:rPr>
        <w:t>十一条 乘坐飞机、火车、轮船、客车等公共交通工具的，各单位应按照《浙江省财政厅关于试行行政事业单位公共交通意外保险的通知》（浙财行〔2017〕7号）规定购买公共交通意外险（出差人员不需再按票次重复购买，不得再单独报销保险费）。经批准发</w:t>
      </w:r>
      <w:r>
        <w:rPr>
          <w:rFonts w:hint="default" w:ascii="宋体" w:hAnsi="宋体" w:eastAsia="宋体" w:cs="宋体"/>
          <w:sz w:val="28"/>
          <w:szCs w:val="28"/>
          <w:lang w:val="en-US" w:eastAsia="zh-CN"/>
        </w:rPr>
        <w:t>生的签转或退票费凭据报销。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highlight w:val="none"/>
        </w:rPr>
        <w:t>第十二条</w:t>
      </w:r>
      <w:r>
        <w:rPr>
          <w:rFonts w:hint="eastAsia" w:ascii="宋体" w:hAnsi="宋体" w:eastAsia="宋体" w:cs="宋体"/>
          <w:sz w:val="28"/>
          <w:szCs w:val="28"/>
        </w:rPr>
        <w:t xml:space="preserve"> </w:t>
      </w:r>
      <w:r>
        <w:rPr>
          <w:rFonts w:hint="eastAsia" w:ascii="宋体" w:hAnsi="宋体" w:eastAsia="宋体" w:cs="宋体"/>
          <w:sz w:val="28"/>
          <w:szCs w:val="28"/>
          <w:lang w:eastAsia="zh-CN"/>
        </w:rPr>
        <w:t>面对越来越严峻的招生形式，根据招生宣传实际情况，为提高宣传效率，允许自己驾驶私家车，实际发生的过路费、油费作为交通费用，所发生的油费上限不超过</w:t>
      </w:r>
      <w:r>
        <w:rPr>
          <w:rFonts w:hint="eastAsia" w:ascii="宋体" w:hAnsi="宋体" w:eastAsia="宋体" w:cs="宋体"/>
          <w:sz w:val="28"/>
          <w:szCs w:val="28"/>
          <w:lang w:val="en-US" w:eastAsia="zh-CN"/>
        </w:rPr>
        <w:t>0.8元/公里。具体里程由出发前、后的里程表照片对比所得。宣传人员需于出差前、后里程表进行拍照，报销时提供两张照片，以便对比核对。（2018年1月9日校党委会审议通过）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第十</w:t>
      </w:r>
      <w:r>
        <w:rPr>
          <w:rFonts w:hint="eastAsia" w:ascii="宋体" w:hAnsi="宋体" w:eastAsia="宋体" w:cs="宋体"/>
          <w:sz w:val="28"/>
          <w:szCs w:val="28"/>
          <w:lang w:eastAsia="zh-CN"/>
        </w:rPr>
        <w:t>三</w:t>
      </w:r>
      <w:r>
        <w:rPr>
          <w:rFonts w:hint="eastAsia" w:ascii="宋体" w:hAnsi="宋体" w:eastAsia="宋体" w:cs="宋体"/>
          <w:sz w:val="28"/>
          <w:szCs w:val="28"/>
        </w:rPr>
        <w:t xml:space="preserve">条 </w:t>
      </w:r>
      <w:r>
        <w:rPr>
          <w:rFonts w:hint="eastAsia" w:ascii="宋体" w:hAnsi="宋体" w:eastAsia="宋体" w:cs="宋体"/>
          <w:sz w:val="28"/>
          <w:szCs w:val="28"/>
          <w:lang w:eastAsia="zh-CN"/>
        </w:rPr>
        <w:t>针对白云校区、绿谷校区学生因公往返零星车费报销事宜，学生处于</w:t>
      </w:r>
      <w:r>
        <w:rPr>
          <w:rFonts w:hint="eastAsia" w:ascii="宋体" w:hAnsi="宋体" w:eastAsia="宋体" w:cs="宋体"/>
          <w:sz w:val="28"/>
          <w:szCs w:val="28"/>
          <w:lang w:val="en-US" w:eastAsia="zh-CN"/>
        </w:rPr>
        <w:t>2021年4月23日报请校长办公会议研究通过：由于学校工作需要，经学校分管领导批准，受二级学院或部门指派，仅限白云校区和绿谷校区之前往返的学生，据实凭票报销，如需打车时尽量拼车。（填写其他费用报销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第三章 住宿费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第十</w:t>
      </w:r>
      <w:r>
        <w:rPr>
          <w:rFonts w:hint="eastAsia" w:ascii="宋体" w:hAnsi="宋体" w:eastAsia="宋体" w:cs="宋体"/>
          <w:sz w:val="28"/>
          <w:szCs w:val="28"/>
          <w:lang w:eastAsia="zh-CN"/>
        </w:rPr>
        <w:t>四</w:t>
      </w:r>
      <w:r>
        <w:rPr>
          <w:rFonts w:hint="eastAsia" w:ascii="宋体" w:hAnsi="宋体" w:eastAsia="宋体" w:cs="宋体"/>
          <w:sz w:val="28"/>
          <w:szCs w:val="28"/>
        </w:rPr>
        <w:t>条 住宿费是指工作人员公务出差期间入住宾馆（包括饭店、招待所、农家旅馆等，下同）发生的房租费用。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第十</w:t>
      </w:r>
      <w:r>
        <w:rPr>
          <w:rFonts w:hint="eastAsia" w:ascii="宋体" w:hAnsi="宋体" w:eastAsia="宋体" w:cs="宋体"/>
          <w:sz w:val="28"/>
          <w:szCs w:val="28"/>
          <w:lang w:eastAsia="zh-CN"/>
        </w:rPr>
        <w:t>五</w:t>
      </w:r>
      <w:r>
        <w:rPr>
          <w:rFonts w:hint="eastAsia" w:ascii="宋体" w:hAnsi="宋体" w:eastAsia="宋体" w:cs="宋体"/>
          <w:sz w:val="28"/>
          <w:szCs w:val="28"/>
        </w:rPr>
        <w:t>条 工作人员公务出差执行分地区、分级别住宿费限额标准，在职务级别对应的出差目的地住宿费限额标准内</w:t>
      </w:r>
      <w:r>
        <w:rPr>
          <w:rFonts w:hint="eastAsia" w:ascii="宋体" w:hAnsi="宋体" w:eastAsia="宋体" w:cs="宋体"/>
          <w:sz w:val="28"/>
          <w:szCs w:val="28"/>
          <w:lang w:eastAsia="zh-CN"/>
        </w:rPr>
        <w:t>（部门正职人员及落单男女可单间，其余人员需拼间）</w:t>
      </w:r>
      <w:r>
        <w:rPr>
          <w:rFonts w:hint="eastAsia" w:ascii="宋体" w:hAnsi="宋体" w:eastAsia="宋体" w:cs="宋体"/>
          <w:sz w:val="28"/>
          <w:szCs w:val="28"/>
        </w:rPr>
        <w:t>，选择安全、经济、便捷的宾馆住宿。工作人员住宿费限额标准见</w:t>
      </w:r>
      <w:r>
        <w:rPr>
          <w:rFonts w:hint="eastAsia" w:ascii="宋体" w:hAnsi="宋体" w:eastAsia="宋体" w:cs="宋体"/>
          <w:sz w:val="28"/>
          <w:szCs w:val="28"/>
          <w:lang w:eastAsia="zh-CN"/>
        </w:rPr>
        <w:t>：</w:t>
      </w:r>
      <w:r>
        <w:rPr>
          <w:rFonts w:hint="eastAsia" w:ascii="宋体" w:hAnsi="宋体" w:eastAsia="宋体" w:cs="宋体"/>
          <w:sz w:val="28"/>
          <w:szCs w:val="28"/>
        </w:rPr>
        <w:t>附件1。</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第十</w:t>
      </w:r>
      <w:r>
        <w:rPr>
          <w:rFonts w:hint="eastAsia" w:ascii="宋体" w:hAnsi="宋体" w:eastAsia="宋体" w:cs="宋体"/>
          <w:sz w:val="28"/>
          <w:szCs w:val="28"/>
          <w:lang w:eastAsia="zh-CN"/>
        </w:rPr>
        <w:t>六</w:t>
      </w:r>
      <w:r>
        <w:rPr>
          <w:rFonts w:hint="eastAsia" w:ascii="宋体" w:hAnsi="宋体" w:eastAsia="宋体" w:cs="宋体"/>
          <w:sz w:val="28"/>
          <w:szCs w:val="28"/>
        </w:rPr>
        <w:t xml:space="preserve">条 </w:t>
      </w:r>
      <w:r>
        <w:rPr>
          <w:rFonts w:hint="eastAsia" w:ascii="宋体" w:hAnsi="宋体" w:eastAsia="宋体" w:cs="宋体"/>
          <w:sz w:val="28"/>
          <w:szCs w:val="28"/>
          <w:lang w:val="en-US" w:eastAsia="zh-CN"/>
        </w:rPr>
        <w:t>单次出差，允许在经批</w:t>
      </w:r>
      <w:r>
        <w:rPr>
          <w:rFonts w:hint="default" w:ascii="宋体" w:hAnsi="宋体" w:eastAsia="宋体" w:cs="宋体"/>
          <w:sz w:val="28"/>
          <w:szCs w:val="28"/>
          <w:lang w:val="en-US" w:eastAsia="zh-CN"/>
        </w:rPr>
        <w:t>准的出差天数和规定的住宿费限额标准之内按实际发生的住宿费用的住宿天数统筹使用。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第十</w:t>
      </w:r>
      <w:r>
        <w:rPr>
          <w:rFonts w:hint="eastAsia" w:ascii="宋体" w:hAnsi="宋体" w:eastAsia="宋体" w:cs="宋体"/>
          <w:sz w:val="28"/>
          <w:szCs w:val="28"/>
          <w:lang w:eastAsia="zh-CN"/>
        </w:rPr>
        <w:t>七</w:t>
      </w:r>
      <w:r>
        <w:rPr>
          <w:rFonts w:hint="eastAsia" w:ascii="宋体" w:hAnsi="宋体" w:eastAsia="宋体" w:cs="宋体"/>
          <w:sz w:val="28"/>
          <w:szCs w:val="28"/>
        </w:rPr>
        <w:t xml:space="preserve">条 </w:t>
      </w:r>
      <w:r>
        <w:rPr>
          <w:rFonts w:hint="eastAsia" w:ascii="宋体" w:hAnsi="宋体" w:eastAsia="宋体" w:cs="宋体"/>
          <w:sz w:val="28"/>
          <w:szCs w:val="28"/>
          <w:lang w:val="en-US" w:eastAsia="zh-CN"/>
        </w:rPr>
        <w:t>工作人员公务出差当天</w:t>
      </w:r>
      <w:r>
        <w:rPr>
          <w:rFonts w:hint="default" w:ascii="宋体" w:hAnsi="宋体" w:eastAsia="宋体" w:cs="宋体"/>
          <w:sz w:val="28"/>
          <w:szCs w:val="28"/>
          <w:lang w:val="en-US" w:eastAsia="zh-CN"/>
        </w:rPr>
        <w:t xml:space="preserve">往返的，确需午休的，经单位领导批准，住宿费在限额标准的 </w:t>
      </w:r>
      <w:r>
        <w:rPr>
          <w:rFonts w:hint="eastAsia" w:ascii="宋体" w:hAnsi="宋体" w:eastAsia="宋体" w:cs="宋体"/>
          <w:sz w:val="28"/>
          <w:szCs w:val="28"/>
          <w:lang w:val="en-US" w:eastAsia="zh-CN"/>
        </w:rPr>
        <w:t xml:space="preserve">50% </w:t>
      </w:r>
      <w:r>
        <w:rPr>
          <w:rFonts w:hint="default" w:ascii="宋体" w:hAnsi="宋体" w:eastAsia="宋体" w:cs="宋体"/>
          <w:sz w:val="28"/>
          <w:szCs w:val="28"/>
          <w:lang w:val="en-US" w:eastAsia="zh-CN"/>
        </w:rPr>
        <w:t>以内凭据报销</w:t>
      </w:r>
      <w:r>
        <w:rPr>
          <w:rFonts w:hint="eastAsia" w:ascii="宋体" w:hAnsi="宋体" w:eastAsia="宋体" w:cs="宋体"/>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第四章 伙食补助费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第十</w:t>
      </w:r>
      <w:r>
        <w:rPr>
          <w:rFonts w:hint="eastAsia" w:ascii="宋体" w:hAnsi="宋体" w:eastAsia="宋体" w:cs="宋体"/>
          <w:sz w:val="28"/>
          <w:szCs w:val="28"/>
          <w:lang w:eastAsia="zh-CN"/>
        </w:rPr>
        <w:t>八</w:t>
      </w:r>
      <w:r>
        <w:rPr>
          <w:rFonts w:hint="eastAsia" w:ascii="宋体" w:hAnsi="宋体" w:eastAsia="宋体" w:cs="宋体"/>
          <w:sz w:val="28"/>
          <w:szCs w:val="28"/>
        </w:rPr>
        <w:t>条 伙食补助费是指对工作人员在公务出差期间给予的伙食补偿费用。</w:t>
      </w:r>
      <w:r>
        <w:rPr>
          <w:rFonts w:hint="eastAsia" w:ascii="宋体" w:hAnsi="宋体" w:eastAsia="宋体" w:cs="宋体"/>
          <w:sz w:val="28"/>
          <w:szCs w:val="28"/>
          <w:lang w:val="en-US" w:eastAsia="zh-CN"/>
        </w:rPr>
        <w:t>出差人员凭住宿费发票（</w:t>
      </w:r>
      <w:r>
        <w:rPr>
          <w:rFonts w:hint="eastAsia" w:ascii="宋体" w:hAnsi="宋体" w:eastAsia="宋体" w:cs="宋体"/>
          <w:sz w:val="28"/>
          <w:szCs w:val="28"/>
          <w:highlight w:val="none"/>
          <w:lang w:val="en-US" w:eastAsia="zh-CN"/>
        </w:rPr>
        <w:t>出差人员在公务出差地</w:t>
      </w:r>
      <w:r>
        <w:rPr>
          <w:rFonts w:hint="default" w:ascii="宋体" w:hAnsi="宋体" w:eastAsia="宋体" w:cs="宋体"/>
          <w:sz w:val="28"/>
          <w:szCs w:val="28"/>
          <w:highlight w:val="none"/>
          <w:lang w:val="en-US" w:eastAsia="zh-CN"/>
        </w:rPr>
        <w:t>有住所时（住在自己家里的）或到边远地区无法取得住宿费发票的，由出差人员说明情况并经所在单位</w:t>
      </w:r>
      <w:r>
        <w:rPr>
          <w:rFonts w:hint="eastAsia" w:ascii="宋体" w:hAnsi="宋体" w:eastAsia="宋体" w:cs="宋体"/>
          <w:sz w:val="28"/>
          <w:szCs w:val="28"/>
          <w:highlight w:val="none"/>
          <w:lang w:val="en-US" w:eastAsia="zh-CN"/>
        </w:rPr>
        <w:t>部门分管</w:t>
      </w:r>
      <w:r>
        <w:rPr>
          <w:rFonts w:hint="default" w:ascii="宋体" w:hAnsi="宋体" w:eastAsia="宋体" w:cs="宋体"/>
          <w:sz w:val="28"/>
          <w:szCs w:val="28"/>
          <w:highlight w:val="none"/>
          <w:lang w:val="en-US" w:eastAsia="zh-CN"/>
        </w:rPr>
        <w:t>领导批准</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报销伙食补助费，</w:t>
      </w:r>
      <w:r>
        <w:rPr>
          <w:rFonts w:hint="eastAsia" w:ascii="宋体" w:hAnsi="宋体" w:eastAsia="宋体" w:cs="宋体"/>
          <w:sz w:val="28"/>
          <w:szCs w:val="28"/>
          <w:lang w:val="en-US" w:eastAsia="zh-CN"/>
        </w:rPr>
        <w:t>组织单位提供免费住宿除外。</w:t>
      </w:r>
      <w:r>
        <w:rPr>
          <w:rFonts w:hint="default" w:ascii="宋体" w:hAnsi="宋体" w:eastAsia="宋体" w:cs="宋体"/>
          <w:sz w:val="28"/>
          <w:szCs w:val="28"/>
          <w:lang w:val="en-US" w:eastAsia="zh-CN"/>
        </w:rPr>
        <w:t>仅部分天数有住宿费发票的分段计算补助。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十九</w:t>
      </w:r>
      <w:r>
        <w:rPr>
          <w:rFonts w:hint="eastAsia" w:ascii="宋体" w:hAnsi="宋体" w:eastAsia="宋体" w:cs="宋体"/>
          <w:sz w:val="28"/>
          <w:szCs w:val="28"/>
        </w:rPr>
        <w:t>条 出差人员应当自行用餐。由接待单位协助安排用餐的，出差人员应自行按实支付伙食费（如用餐成本无法核算的，可按每人每天不低于早餐 20元、中餐 40元、晚餐 40元交纳）。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二十</w:t>
      </w:r>
      <w:r>
        <w:rPr>
          <w:rFonts w:hint="eastAsia" w:ascii="宋体" w:hAnsi="宋体" w:eastAsia="宋体" w:cs="宋体"/>
          <w:sz w:val="28"/>
          <w:szCs w:val="28"/>
        </w:rPr>
        <w:t>条 工作人员公务出差伙食补助费按出差自然（日历）天数计算，执行财政部公布的分地区伙食补助费标准，西藏、青海、新疆每人每天 120元，其他地区每人每天 100元，包干使用。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第二十一条 连续乘坐火车超过12</w:t>
      </w:r>
      <w:r>
        <w:rPr>
          <w:rFonts w:hint="default" w:ascii="宋体" w:hAnsi="宋体" w:eastAsia="宋体" w:cs="宋体"/>
          <w:sz w:val="28"/>
          <w:szCs w:val="28"/>
          <w:lang w:val="en-US" w:eastAsia="zh-CN"/>
        </w:rPr>
        <w:t xml:space="preserve">小时的，可凭车票每满 </w:t>
      </w:r>
      <w:r>
        <w:rPr>
          <w:rFonts w:hint="eastAsia" w:ascii="宋体" w:hAnsi="宋体" w:eastAsia="宋体" w:cs="宋体"/>
          <w:sz w:val="28"/>
          <w:szCs w:val="28"/>
          <w:lang w:val="en-US" w:eastAsia="zh-CN"/>
        </w:rPr>
        <w:t xml:space="preserve">12 </w:t>
      </w:r>
      <w:r>
        <w:rPr>
          <w:rFonts w:hint="default" w:ascii="宋体" w:hAnsi="宋体" w:eastAsia="宋体" w:cs="宋体"/>
          <w:sz w:val="28"/>
          <w:szCs w:val="28"/>
          <w:lang w:val="en-US" w:eastAsia="zh-CN"/>
        </w:rPr>
        <w:t>小时，加发</w:t>
      </w:r>
      <w:r>
        <w:rPr>
          <w:rFonts w:hint="eastAsia" w:ascii="宋体" w:hAnsi="宋体" w:eastAsia="宋体" w:cs="宋体"/>
          <w:sz w:val="28"/>
          <w:szCs w:val="28"/>
          <w:lang w:val="en-US" w:eastAsia="zh-CN"/>
        </w:rPr>
        <w:t>50</w:t>
      </w:r>
      <w:r>
        <w:rPr>
          <w:rFonts w:hint="default" w:ascii="宋体" w:hAnsi="宋体" w:eastAsia="宋体" w:cs="宋体"/>
          <w:sz w:val="28"/>
          <w:szCs w:val="28"/>
          <w:lang w:val="en-US" w:eastAsia="zh-CN"/>
        </w:rPr>
        <w:t>元伙食补助。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第二十二条 已享受会议、培训等公务</w:t>
      </w:r>
      <w:r>
        <w:rPr>
          <w:rFonts w:hint="default" w:ascii="宋体" w:hAnsi="宋体" w:eastAsia="宋体" w:cs="宋体"/>
          <w:sz w:val="28"/>
          <w:szCs w:val="28"/>
          <w:lang w:val="en-US" w:eastAsia="zh-CN"/>
        </w:rPr>
        <w:t>活动伙食的，不再享受伙食补助；</w:t>
      </w:r>
      <w:r>
        <w:rPr>
          <w:rFonts w:hint="eastAsia" w:ascii="宋体" w:hAnsi="宋体" w:eastAsia="宋体" w:cs="宋体"/>
          <w:sz w:val="28"/>
          <w:szCs w:val="28"/>
          <w:lang w:val="en-US" w:eastAsia="zh-CN"/>
        </w:rPr>
        <w:t>若会议、培训没提供公务活动用餐，需提供自行就餐证明（发票、收据、支付凭证皆可）。当天单餐可按每人每天不高于早餐 20元、中餐 40元、晚餐 40元以内据实报销</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当天自行用餐两餐（早、中、晚）及以上按规定标准全额补助。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第二十三条 丽水规划区外的莲都乡镇执行公务的确因公务时间较长且路程较远无法回单位或家里用餐的，峰源乡每人每</w:t>
      </w:r>
      <w:r>
        <w:rPr>
          <w:rFonts w:hint="default" w:ascii="宋体" w:hAnsi="宋体" w:eastAsia="宋体" w:cs="宋体"/>
          <w:sz w:val="28"/>
          <w:szCs w:val="28"/>
          <w:lang w:val="en-US" w:eastAsia="zh-CN"/>
        </w:rPr>
        <w:t xml:space="preserve">半天 </w:t>
      </w:r>
      <w:r>
        <w:rPr>
          <w:rFonts w:hint="eastAsia" w:ascii="宋体" w:hAnsi="宋体" w:eastAsia="宋体" w:cs="宋体"/>
          <w:sz w:val="28"/>
          <w:szCs w:val="28"/>
          <w:lang w:val="en-US" w:eastAsia="zh-CN"/>
        </w:rPr>
        <w:t xml:space="preserve">40 </w:t>
      </w:r>
      <w:r>
        <w:rPr>
          <w:rFonts w:hint="default" w:ascii="宋体" w:hAnsi="宋体" w:eastAsia="宋体" w:cs="宋体"/>
          <w:sz w:val="28"/>
          <w:szCs w:val="28"/>
          <w:lang w:val="en-US" w:eastAsia="zh-CN"/>
        </w:rPr>
        <w:t xml:space="preserve">元、全天 </w:t>
      </w:r>
      <w:r>
        <w:rPr>
          <w:rFonts w:hint="eastAsia" w:ascii="宋体" w:hAnsi="宋体" w:eastAsia="宋体" w:cs="宋体"/>
          <w:sz w:val="28"/>
          <w:szCs w:val="28"/>
          <w:lang w:val="en-US" w:eastAsia="zh-CN"/>
        </w:rPr>
        <w:t xml:space="preserve">75 </w:t>
      </w:r>
      <w:r>
        <w:rPr>
          <w:rFonts w:hint="default" w:ascii="宋体" w:hAnsi="宋体" w:eastAsia="宋体" w:cs="宋体"/>
          <w:sz w:val="28"/>
          <w:szCs w:val="28"/>
          <w:lang w:val="en-US" w:eastAsia="zh-CN"/>
        </w:rPr>
        <w:t xml:space="preserve">元，其他乡镇按每人每半天 </w:t>
      </w:r>
      <w:r>
        <w:rPr>
          <w:rFonts w:hint="eastAsia" w:ascii="宋体" w:hAnsi="宋体" w:eastAsia="宋体" w:cs="宋体"/>
          <w:sz w:val="28"/>
          <w:szCs w:val="28"/>
          <w:lang w:val="en-US" w:eastAsia="zh-CN"/>
        </w:rPr>
        <w:t xml:space="preserve">25 </w:t>
      </w:r>
      <w:r>
        <w:rPr>
          <w:rFonts w:hint="default" w:ascii="宋体" w:hAnsi="宋体" w:eastAsia="宋体" w:cs="宋体"/>
          <w:sz w:val="28"/>
          <w:szCs w:val="28"/>
          <w:lang w:val="en-US" w:eastAsia="zh-CN"/>
        </w:rPr>
        <w:t xml:space="preserve">元、全天 </w:t>
      </w:r>
      <w:r>
        <w:rPr>
          <w:rFonts w:hint="eastAsia" w:ascii="宋体" w:hAnsi="宋体" w:eastAsia="宋体" w:cs="宋体"/>
          <w:sz w:val="28"/>
          <w:szCs w:val="28"/>
          <w:lang w:val="en-US" w:eastAsia="zh-CN"/>
        </w:rPr>
        <w:t xml:space="preserve">45 </w:t>
      </w:r>
      <w:r>
        <w:rPr>
          <w:rFonts w:hint="default" w:ascii="宋体" w:hAnsi="宋体" w:eastAsia="宋体" w:cs="宋体"/>
          <w:sz w:val="28"/>
          <w:szCs w:val="28"/>
          <w:lang w:val="en-US" w:eastAsia="zh-CN"/>
        </w:rPr>
        <w:t>元包干使用</w:t>
      </w:r>
      <w:r>
        <w:rPr>
          <w:rFonts w:hint="eastAsia" w:ascii="宋体" w:hAnsi="宋体" w:eastAsia="宋体" w:cs="宋体"/>
          <w:sz w:val="28"/>
          <w:szCs w:val="28"/>
          <w:lang w:val="en-US" w:eastAsia="zh-CN"/>
        </w:rPr>
        <w:t>，住宿费限额标准</w:t>
      </w:r>
      <w:bookmarkStart w:id="8" w:name="_GoBack"/>
      <w:bookmarkEnd w:id="8"/>
      <w:r>
        <w:rPr>
          <w:rFonts w:hint="eastAsia" w:ascii="宋体" w:hAnsi="宋体" w:eastAsia="宋体" w:cs="宋体"/>
          <w:sz w:val="28"/>
          <w:szCs w:val="28"/>
          <w:lang w:val="en-US" w:eastAsia="zh-CN"/>
        </w:rPr>
        <w:t>内凭据报销。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第二十四条 在校生参加公务性活动伙食及公杂费用按财政部门规定标准的50%执行。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w:t>
      </w:r>
      <w:bookmarkStart w:id="2" w:name="br1_3"/>
      <w:bookmarkEnd w:id="2"/>
      <w:r>
        <w:rPr>
          <w:rFonts w:hint="eastAsia" w:ascii="宋体" w:hAnsi="宋体" w:eastAsia="宋体" w:cs="宋体"/>
          <w:sz w:val="28"/>
          <w:szCs w:val="28"/>
        </w:rPr>
        <w:t>五章 公杂费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二十五</w:t>
      </w:r>
      <w:r>
        <w:rPr>
          <w:rFonts w:hint="eastAsia" w:ascii="宋体" w:hAnsi="宋体" w:eastAsia="宋体" w:cs="宋体"/>
          <w:sz w:val="28"/>
          <w:szCs w:val="28"/>
        </w:rPr>
        <w:t>条 公杂费是指工作人员公务出差期间发生的市内交通费（含市内机场大巴费）、机场服务费、打包费、订票费以及打印、复印、传真、寄送资料等发生的费用。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二十六条</w:t>
      </w:r>
      <w:r>
        <w:rPr>
          <w:rFonts w:hint="eastAsia" w:ascii="宋体" w:hAnsi="宋体" w:eastAsia="宋体" w:cs="宋体"/>
          <w:sz w:val="28"/>
          <w:szCs w:val="28"/>
        </w:rPr>
        <w:t xml:space="preserve"> 公杂费按出差自然（日历）天数计算，每人每天 80元包干使用。由单位（含牵头单位，下同）安排车辆出差的，相应派车天数（自然日）公杂费减半。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二十七</w:t>
      </w:r>
      <w:r>
        <w:rPr>
          <w:rFonts w:hint="eastAsia" w:ascii="宋体" w:hAnsi="宋体" w:eastAsia="宋体" w:cs="宋体"/>
          <w:sz w:val="28"/>
          <w:szCs w:val="28"/>
        </w:rPr>
        <w:t>条 出差人员由接待单位或其他单位协助提供交通工具的，应自行按实支付交通费用。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第</w:t>
      </w:r>
      <w:r>
        <w:rPr>
          <w:rFonts w:hint="eastAsia" w:ascii="宋体" w:hAnsi="宋体" w:eastAsia="宋体" w:cs="宋体"/>
          <w:sz w:val="28"/>
          <w:szCs w:val="28"/>
          <w:lang w:eastAsia="zh-CN"/>
        </w:rPr>
        <w:t>二十八</w:t>
      </w:r>
      <w:r>
        <w:rPr>
          <w:rFonts w:hint="eastAsia" w:ascii="宋体" w:hAnsi="宋体" w:eastAsia="宋体" w:cs="宋体"/>
          <w:sz w:val="28"/>
          <w:szCs w:val="28"/>
        </w:rPr>
        <w:t xml:space="preserve">条 </w:t>
      </w:r>
      <w:r>
        <w:rPr>
          <w:rFonts w:hint="eastAsia" w:ascii="宋体" w:hAnsi="宋体" w:eastAsia="宋体" w:cs="宋体"/>
          <w:sz w:val="28"/>
          <w:szCs w:val="28"/>
          <w:lang w:eastAsia="zh-CN"/>
        </w:rPr>
        <w:t>学生外出教学实习按教务处《师生外出实习补贴及差旅费报销暂行规定》执行，每班带队指导教师原则上不超过</w:t>
      </w:r>
      <w:r>
        <w:rPr>
          <w:rFonts w:hint="eastAsia" w:ascii="宋体" w:hAnsi="宋体" w:eastAsia="宋体" w:cs="宋体"/>
          <w:sz w:val="28"/>
          <w:szCs w:val="28"/>
          <w:lang w:val="en-US" w:eastAsia="zh-CN"/>
        </w:rPr>
        <w:t>2人，公杂费等综合补贴按每人每天市内30元、省内市外60元、省外80元的标准报差旅公杂费，无伙食补助费用。带队教师的城市间交通费及住宿费凭据在差旅费规定标准内报销，学生自理。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第六章 报销管理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二</w:t>
      </w:r>
      <w:r>
        <w:rPr>
          <w:rFonts w:hint="eastAsia" w:ascii="宋体" w:hAnsi="宋体" w:eastAsia="宋体" w:cs="宋体"/>
          <w:sz w:val="28"/>
          <w:szCs w:val="28"/>
        </w:rPr>
        <w:t>十九条 出差人员应当严格按规定开支差旅费，并按规定使用公务卡结算，不得向下级单位、企业或其他单位转嫁。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第</w:t>
      </w:r>
      <w:bookmarkStart w:id="3" w:name="br1_5"/>
      <w:bookmarkEnd w:id="3"/>
      <w:r>
        <w:rPr>
          <w:rFonts w:hint="eastAsia" w:ascii="宋体" w:hAnsi="宋体" w:eastAsia="宋体" w:cs="宋体"/>
          <w:sz w:val="28"/>
          <w:szCs w:val="28"/>
          <w:lang w:eastAsia="zh-CN"/>
        </w:rPr>
        <w:t>三十</w:t>
      </w:r>
      <w:r>
        <w:rPr>
          <w:rFonts w:hint="eastAsia" w:ascii="宋体" w:hAnsi="宋体" w:eastAsia="宋体" w:cs="宋体"/>
          <w:sz w:val="28"/>
          <w:szCs w:val="28"/>
        </w:rPr>
        <w:t>条 出差人员公务出差结束后，应在一个月内办理报销手续。差旅费报销时应当提供公务出差审批单，以及机票、车船票、住宿费发票等各消费点的原始票据</w:t>
      </w:r>
      <w:r>
        <w:rPr>
          <w:rFonts w:hint="eastAsia" w:ascii="宋体" w:hAnsi="宋体" w:eastAsia="宋体" w:cs="宋体"/>
          <w:sz w:val="28"/>
          <w:szCs w:val="28"/>
          <w:lang w:eastAsia="zh-CN"/>
        </w:rPr>
        <w:t>作为报销凭证。会议、培训的文件通知、方案、协议。公务卡付款凭证等其他佐证材料作为报销审核依据。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三十一</w:t>
      </w:r>
      <w:r>
        <w:rPr>
          <w:rFonts w:hint="eastAsia" w:ascii="宋体" w:hAnsi="宋体" w:eastAsia="宋体" w:cs="宋体"/>
          <w:sz w:val="28"/>
          <w:szCs w:val="28"/>
        </w:rPr>
        <w:t>条 各单位应当严格按规定审核差旅费开支，未经批准的差旅活动，不予报销差旅费。对超范围、超标准开支的，超支部分不予报销，由出差人员自理。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第</w:t>
      </w:r>
      <w:r>
        <w:rPr>
          <w:rFonts w:hint="eastAsia" w:ascii="宋体" w:hAnsi="宋体" w:eastAsia="宋体" w:cs="宋体"/>
          <w:sz w:val="28"/>
          <w:szCs w:val="28"/>
          <w:lang w:eastAsia="zh-CN"/>
        </w:rPr>
        <w:t>三十二</w:t>
      </w:r>
      <w:r>
        <w:rPr>
          <w:rFonts w:hint="eastAsia" w:ascii="宋体" w:hAnsi="宋体" w:eastAsia="宋体" w:cs="宋体"/>
          <w:sz w:val="28"/>
          <w:szCs w:val="28"/>
        </w:rPr>
        <w:t xml:space="preserve">条 </w:t>
      </w:r>
      <w:r>
        <w:rPr>
          <w:rFonts w:hint="eastAsia" w:ascii="宋体" w:hAnsi="宋体" w:eastAsia="宋体" w:cs="宋体"/>
          <w:sz w:val="28"/>
          <w:szCs w:val="28"/>
          <w:lang w:eastAsia="zh-CN"/>
        </w:rPr>
        <w:t>财务报销审核流程详见丽水职业技术学院《财务信息系统操作指南》。财务支付流程：凭财务报销终审单及各相关附件送计财处再次线下审核后支付。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第七章 其他相关规定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三十三</w:t>
      </w:r>
      <w:r>
        <w:rPr>
          <w:rFonts w:hint="eastAsia" w:ascii="宋体" w:hAnsi="宋体" w:eastAsia="宋体" w:cs="宋体"/>
          <w:sz w:val="28"/>
          <w:szCs w:val="28"/>
        </w:rPr>
        <w:t>条 工作人员到常驻地以外地区参加会议、培训，往返（一般指头尾两天）会议、培训地点的城市间交通费、伙食补助费、公杂费按差旅费规定报销，报销时需提供公务出差审批单及会议、培训通知等。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三十四</w:t>
      </w:r>
      <w:r>
        <w:rPr>
          <w:rFonts w:hint="eastAsia" w:ascii="宋体" w:hAnsi="宋体" w:eastAsia="宋体" w:cs="宋体"/>
          <w:sz w:val="28"/>
          <w:szCs w:val="28"/>
        </w:rPr>
        <w:t>条 工作人员离开常驻地到外地实（见）习、挂职锻炼、支援工作等，在外地工作期间每天的伙食补助费，省外按 40元、省内按 25元补助，不报销公杂费。省财政厅另有规定的从其规定，不得重复领取。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上述人员利用国家法定休息日和节假日往返在外工作地与原工作地的城市间交通费在规定等级内据实报销（在外工作地和原工作地均在省内的，也可在相应额度内选择补助方式包干使用），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公杂费每次 80元包干使用；省内每月不超过 2次，跨省的每月不超过 1次，一往一返计 1次。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eastAsia="zh-CN"/>
        </w:rPr>
        <w:t>高水平访问工程师，莲都区以外的，每月报销往返差旅费一次，住宿费每月补助</w:t>
      </w:r>
      <w:r>
        <w:rPr>
          <w:rFonts w:hint="eastAsia" w:ascii="宋体" w:hAnsi="宋体" w:eastAsia="宋体" w:cs="宋体"/>
          <w:sz w:val="28"/>
          <w:szCs w:val="28"/>
          <w:lang w:val="en-US" w:eastAsia="zh-CN"/>
        </w:rPr>
        <w:t>1000元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三十五</w:t>
      </w:r>
      <w:r>
        <w:rPr>
          <w:rFonts w:hint="eastAsia" w:ascii="宋体" w:hAnsi="宋体" w:eastAsia="宋体" w:cs="宋体"/>
          <w:sz w:val="28"/>
          <w:szCs w:val="28"/>
        </w:rPr>
        <w:t>条 根据上级任务，经批准，工作人员需到西藏、青</w:t>
      </w:r>
      <w:bookmarkStart w:id="4" w:name="br1_6"/>
      <w:bookmarkEnd w:id="4"/>
      <w:r>
        <w:rPr>
          <w:rFonts w:hint="eastAsia" w:ascii="宋体" w:hAnsi="宋体" w:eastAsia="宋体" w:cs="宋体"/>
          <w:sz w:val="28"/>
          <w:szCs w:val="28"/>
        </w:rPr>
        <w:t>海、新疆支援工作且在支援地有固定工作场所的，按照浙江省援藏、援青、援疆的生活补助费标准，按月享受补助，不能按出差标准享受补助。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第三十</w:t>
      </w:r>
      <w:r>
        <w:rPr>
          <w:rFonts w:hint="eastAsia" w:ascii="宋体" w:hAnsi="宋体" w:eastAsia="宋体" w:cs="宋体"/>
          <w:sz w:val="28"/>
          <w:szCs w:val="28"/>
          <w:lang w:eastAsia="zh-CN"/>
        </w:rPr>
        <w:t>六</w:t>
      </w:r>
      <w:r>
        <w:rPr>
          <w:rFonts w:hint="eastAsia" w:ascii="宋体" w:hAnsi="宋体" w:eastAsia="宋体" w:cs="宋体"/>
          <w:sz w:val="28"/>
          <w:szCs w:val="28"/>
        </w:rPr>
        <w:t>条 出差人员乘坐全列软席列车时，原则上应乘坐软座，但在晚 8时至次日晨 7时期间乘坐时间 6小时以上的，或连续乘车超过 12小时的，经单位领导批准，可以乘坐软卧，按照软卧车票报销。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第三十</w:t>
      </w:r>
      <w:r>
        <w:rPr>
          <w:rFonts w:hint="eastAsia" w:ascii="宋体" w:hAnsi="宋体" w:eastAsia="宋体" w:cs="宋体"/>
          <w:sz w:val="28"/>
          <w:szCs w:val="28"/>
          <w:lang w:eastAsia="zh-CN"/>
        </w:rPr>
        <w:t>七</w:t>
      </w:r>
      <w:r>
        <w:rPr>
          <w:rFonts w:hint="eastAsia" w:ascii="宋体" w:hAnsi="宋体" w:eastAsia="宋体" w:cs="宋体"/>
          <w:sz w:val="28"/>
          <w:szCs w:val="28"/>
        </w:rPr>
        <w:t>条 工作人员因工作调动所发生的城市间交通费、住宿费、伙食补助费和公杂费，由调入单位按照差旅费管理规定予以一次性报销。随迁家属和搬迁家具发生的费用由调动人员自理。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第三十</w:t>
      </w:r>
      <w:r>
        <w:rPr>
          <w:rFonts w:hint="eastAsia" w:ascii="宋体" w:hAnsi="宋体" w:eastAsia="宋体" w:cs="宋体"/>
          <w:sz w:val="28"/>
          <w:szCs w:val="28"/>
          <w:lang w:eastAsia="zh-CN"/>
        </w:rPr>
        <w:t>八</w:t>
      </w:r>
      <w:r>
        <w:rPr>
          <w:rFonts w:hint="eastAsia" w:ascii="宋体" w:hAnsi="宋体" w:eastAsia="宋体" w:cs="宋体"/>
          <w:sz w:val="28"/>
          <w:szCs w:val="28"/>
        </w:rPr>
        <w:t>条 经批准工作人员公务出差期间利用国家法定休息</w:t>
      </w:r>
      <w:bookmarkStart w:id="5" w:name="br1_7"/>
      <w:bookmarkEnd w:id="5"/>
      <w:r>
        <w:rPr>
          <w:rFonts w:hint="eastAsia" w:ascii="宋体" w:hAnsi="宋体" w:eastAsia="宋体" w:cs="宋体"/>
          <w:sz w:val="28"/>
          <w:szCs w:val="28"/>
        </w:rPr>
        <w:t>日和节假日就近回家省亲办事的，城市间交通费按不高于从出差目的地返回单位按规定乘坐相应公共交通工具的直线单程票价予以报销，超出部分个人自理；伙食补助费和公杂费按实际公务出差天数报销，不予报销绕道和回家省亲办事的住宿费、伙食补助费、公杂费。</w:t>
      </w:r>
      <w:r>
        <w:rPr>
          <w:rFonts w:hint="eastAsia" w:ascii="宋体" w:hAnsi="宋体" w:eastAsia="宋体" w:cs="宋体"/>
          <w:sz w:val="28"/>
          <w:szCs w:val="28"/>
          <w:lang w:eastAsia="zh-CN"/>
        </w:rPr>
        <w:t>（省亲过程中批准公务活动的参考此条）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第三十</w:t>
      </w:r>
      <w:r>
        <w:rPr>
          <w:rFonts w:hint="eastAsia" w:ascii="宋体" w:hAnsi="宋体" w:eastAsia="宋体" w:cs="宋体"/>
          <w:sz w:val="28"/>
          <w:szCs w:val="28"/>
          <w:lang w:eastAsia="zh-CN"/>
        </w:rPr>
        <w:t>九</w:t>
      </w:r>
      <w:r>
        <w:rPr>
          <w:rFonts w:hint="eastAsia" w:ascii="宋体" w:hAnsi="宋体" w:eastAsia="宋体" w:cs="宋体"/>
          <w:sz w:val="28"/>
          <w:szCs w:val="28"/>
        </w:rPr>
        <w:t>条 有下列情况的人员不能享受出差伙食、公杂补助（国家和省另有规定的除外）：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（一）已享受会议、培训伙食者；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（二）调干待分配工作者；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（三）在常驻地参加各种临时办公室、指挥部、领导小组等机构工作者；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（四）已享受讲课补贴、野外津贴、下海津贴和其他作业津贴者。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第八章 监督问责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四十</w:t>
      </w:r>
      <w:r>
        <w:rPr>
          <w:rFonts w:hint="eastAsia" w:ascii="宋体" w:hAnsi="宋体" w:eastAsia="宋体" w:cs="宋体"/>
          <w:sz w:val="28"/>
          <w:szCs w:val="28"/>
        </w:rPr>
        <w:t>条 各</w:t>
      </w:r>
      <w:r>
        <w:rPr>
          <w:rFonts w:hint="eastAsia" w:ascii="宋体" w:hAnsi="宋体" w:eastAsia="宋体" w:cs="宋体"/>
          <w:sz w:val="28"/>
          <w:szCs w:val="28"/>
          <w:lang w:eastAsia="zh-CN"/>
        </w:rPr>
        <w:t>部门</w:t>
      </w:r>
      <w:r>
        <w:rPr>
          <w:rFonts w:hint="eastAsia" w:ascii="宋体" w:hAnsi="宋体" w:eastAsia="宋体" w:cs="宋体"/>
          <w:sz w:val="28"/>
          <w:szCs w:val="28"/>
        </w:rPr>
        <w:t>应根据本规定制定实施细则等内控制度，加强对本</w:t>
      </w:r>
      <w:r>
        <w:rPr>
          <w:rFonts w:hint="eastAsia" w:ascii="宋体" w:hAnsi="宋体" w:eastAsia="宋体" w:cs="宋体"/>
          <w:sz w:val="28"/>
          <w:szCs w:val="28"/>
          <w:lang w:eastAsia="zh-CN"/>
        </w:rPr>
        <w:t>部门</w:t>
      </w:r>
      <w:r>
        <w:rPr>
          <w:rFonts w:hint="eastAsia" w:ascii="宋体" w:hAnsi="宋体" w:eastAsia="宋体" w:cs="宋体"/>
          <w:sz w:val="28"/>
          <w:szCs w:val="28"/>
        </w:rPr>
        <w:t>工作人员公务出差和经费报销的管理，对本单位差旅活动负责；出差人员应确保票据来源合法，内容真实完整、合规。对</w:t>
      </w:r>
      <w:r>
        <w:rPr>
          <w:rFonts w:hint="eastAsia" w:ascii="宋体" w:hAnsi="宋体" w:eastAsia="宋体" w:cs="宋体"/>
          <w:sz w:val="28"/>
          <w:szCs w:val="28"/>
          <w:lang w:eastAsia="zh-CN"/>
        </w:rPr>
        <w:t>虚假</w:t>
      </w:r>
      <w:r>
        <w:rPr>
          <w:rFonts w:hint="eastAsia" w:ascii="宋体" w:hAnsi="宋体" w:eastAsia="宋体" w:cs="宋体"/>
          <w:sz w:val="28"/>
          <w:szCs w:val="28"/>
        </w:rPr>
        <w:t>报销差旅费的人员，应严肃追究当事人等相关人员责任。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w:t>
      </w:r>
      <w:r>
        <w:rPr>
          <w:rFonts w:hint="eastAsia" w:ascii="宋体" w:hAnsi="宋体" w:eastAsia="宋体" w:cs="宋体"/>
          <w:sz w:val="28"/>
          <w:szCs w:val="28"/>
          <w:lang w:eastAsia="zh-CN"/>
        </w:rPr>
        <w:t>四十一</w:t>
      </w:r>
      <w:r>
        <w:rPr>
          <w:rFonts w:hint="eastAsia" w:ascii="宋体" w:hAnsi="宋体" w:eastAsia="宋体" w:cs="宋体"/>
          <w:sz w:val="28"/>
          <w:szCs w:val="28"/>
        </w:rPr>
        <w:t>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出差人员不得向接待单位提出正常公务活动以外的要求，不得在公务出差期间接受违反规定用公款支付的宴请、游览和非工作需要的参观。严禁无实质内容、无明确公务目的的差旅活动，严禁以任何名义和方式变相旅游，严禁异地部门间无实质内容的学习交流和考察调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第九章 附则</w:t>
      </w:r>
    </w:p>
    <w:p>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sz w:val="28"/>
          <w:szCs w:val="28"/>
        </w:rPr>
        <w:t>第四十二条 本规定自 20</w:t>
      </w:r>
      <w:r>
        <w:rPr>
          <w:rFonts w:hint="eastAsia" w:ascii="宋体" w:hAnsi="宋体" w:eastAsia="宋体" w:cs="宋体"/>
          <w:sz w:val="28"/>
          <w:szCs w:val="28"/>
          <w:lang w:val="en-US" w:eastAsia="zh-CN"/>
        </w:rPr>
        <w:t>22</w:t>
      </w:r>
      <w:r>
        <w:rPr>
          <w:rFonts w:hint="eastAsia" w:ascii="宋体" w:hAnsi="宋体" w:eastAsia="宋体" w:cs="宋体"/>
          <w:sz w:val="28"/>
          <w:szCs w:val="28"/>
        </w:rPr>
        <w:t>年 7月 1日起施行。</w:t>
      </w:r>
      <w:r>
        <w:rPr>
          <w:rFonts w:hint="eastAsia" w:ascii="宋体" w:hAnsi="宋体" w:eastAsia="宋体" w:cs="宋体"/>
          <w:sz w:val="28"/>
          <w:szCs w:val="28"/>
          <w:lang w:eastAsia="zh-CN"/>
        </w:rPr>
        <w:t>主要参考文件依据有：《</w:t>
      </w:r>
      <w:r>
        <w:rPr>
          <w:rFonts w:hint="eastAsia" w:ascii="宋体" w:hAnsi="宋体" w:eastAsia="宋体" w:cs="宋体"/>
          <w:sz w:val="28"/>
          <w:szCs w:val="28"/>
          <w:lang w:val="en-US" w:eastAsia="zh-CN"/>
        </w:rPr>
        <w:t xml:space="preserve">丽水市财政局转发浙江省财政厅关于进一步规范差旅费管理 </w:t>
      </w:r>
      <w:r>
        <w:rPr>
          <w:rFonts w:hint="default" w:ascii="宋体" w:hAnsi="宋体" w:eastAsia="宋体" w:cs="宋体"/>
          <w:sz w:val="28"/>
          <w:szCs w:val="28"/>
          <w:lang w:val="en-US" w:eastAsia="zh-CN"/>
        </w:rPr>
        <w:t>有关事项的通知</w:t>
      </w:r>
      <w:r>
        <w:rPr>
          <w:rFonts w:hint="eastAsia" w:ascii="宋体" w:hAnsi="宋体" w:eastAsia="宋体" w:cs="宋体"/>
          <w:sz w:val="28"/>
          <w:szCs w:val="28"/>
          <w:lang w:eastAsia="zh-CN"/>
        </w:rPr>
        <w:t>》</w:t>
      </w:r>
      <w:r>
        <w:rPr>
          <w:rFonts w:hint="default" w:ascii="宋体" w:hAnsi="宋体" w:eastAsia="宋体" w:cs="宋体"/>
          <w:sz w:val="28"/>
          <w:szCs w:val="28"/>
          <w:lang w:val="en-US" w:eastAsia="zh-CN"/>
        </w:rPr>
        <w:t>（丽财行〔2019〕203号）</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丽水市财政局关于转发《浙江省机关工作人员差旅费管理规定的通知</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（丽财行〔2017〕195号）</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丽水市财政局关于印发丽水市各县（市、区）在常驻地范围内往返偏远地区执行公务相关费用报销规定的通知</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（丽财行2017〕227号）</w:t>
      </w:r>
      <w:r>
        <w:rPr>
          <w:rFonts w:hint="eastAsia" w:ascii="宋体" w:hAnsi="宋体" w:eastAsia="宋体" w:cs="宋体"/>
          <w:sz w:val="28"/>
          <w:szCs w:val="28"/>
          <w:lang w:val="en-US" w:eastAsia="zh-CN"/>
        </w:rPr>
        <w:t>、丽水职业技术学院</w:t>
      </w:r>
      <w:r>
        <w:rPr>
          <w:rFonts w:hint="eastAsia" w:ascii="宋体" w:hAnsi="宋体" w:eastAsia="宋体" w:cs="宋体"/>
          <w:sz w:val="28"/>
          <w:szCs w:val="28"/>
          <w:lang w:eastAsia="zh-CN"/>
        </w:rPr>
        <w:t>《师生外出实习补贴及差旅费报销暂行规定》、丽水职业技术学院《关于招生宣传自驾报销的规定》、丽水职业技术学院《白云校区、绿谷校区学生因公往返零星车费报销办法》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第四十</w:t>
      </w:r>
      <w:r>
        <w:rPr>
          <w:rFonts w:hint="eastAsia" w:ascii="宋体" w:hAnsi="宋体" w:eastAsia="宋体" w:cs="宋体"/>
          <w:sz w:val="28"/>
          <w:szCs w:val="28"/>
          <w:lang w:eastAsia="zh-CN"/>
        </w:rPr>
        <w:t>三</w:t>
      </w:r>
      <w:r>
        <w:rPr>
          <w:rFonts w:hint="eastAsia" w:ascii="宋体" w:hAnsi="宋体" w:eastAsia="宋体" w:cs="宋体"/>
          <w:sz w:val="28"/>
          <w:szCs w:val="28"/>
        </w:rPr>
        <w:t>条 本规定由</w:t>
      </w:r>
      <w:r>
        <w:rPr>
          <w:rFonts w:hint="eastAsia" w:ascii="宋体" w:hAnsi="宋体" w:eastAsia="宋体" w:cs="宋体"/>
          <w:sz w:val="28"/>
          <w:szCs w:val="28"/>
          <w:lang w:eastAsia="zh-CN"/>
        </w:rPr>
        <w:t>计划财务处</w:t>
      </w:r>
      <w:r>
        <w:rPr>
          <w:rFonts w:hint="eastAsia" w:ascii="宋体" w:hAnsi="宋体" w:eastAsia="宋体" w:cs="宋体"/>
          <w:sz w:val="28"/>
          <w:szCs w:val="28"/>
        </w:rPr>
        <w:t>负责解释。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bookmarkStart w:id="6" w:name="br1_11"/>
      <w:bookmarkEnd w:id="6"/>
      <w:r>
        <w:rPr>
          <w:rFonts w:hint="eastAsia" w:ascii="宋体" w:hAnsi="宋体" w:eastAsia="宋体" w:cs="宋体"/>
          <w:sz w:val="28"/>
          <w:szCs w:val="28"/>
        </w:rPr>
        <w:t>附件 1</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浙江省省级机关国内差旅住宿费限额标准明细表</w:t>
      </w:r>
    </w:p>
    <w:p>
      <w:bookmarkStart w:id="7" w:name="br1_16"/>
      <w:bookmarkEnd w:id="7"/>
      <w:r>
        <w:drawing>
          <wp:inline distT="0" distB="0" distL="114300" distR="114300">
            <wp:extent cx="5925820" cy="8279765"/>
            <wp:effectExtent l="0" t="0" r="17780" b="6985"/>
            <wp:docPr id="8" name="图片 3" descr="Image_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age_00055"/>
                    <pic:cNvPicPr>
                      <a:picLocks noChangeAspect="1"/>
                    </pic:cNvPicPr>
                  </pic:nvPicPr>
                  <pic:blipFill>
                    <a:blip r:embed="rId4"/>
                    <a:stretch>
                      <a:fillRect/>
                    </a:stretch>
                  </pic:blipFill>
                  <pic:spPr>
                    <a:xfrm>
                      <a:off x="0" y="0"/>
                      <a:ext cx="5925820" cy="8279765"/>
                    </a:xfrm>
                    <a:prstGeom prst="rect">
                      <a:avLst/>
                    </a:prstGeom>
                    <a:noFill/>
                    <a:ln>
                      <a:noFill/>
                    </a:ln>
                  </pic:spPr>
                </pic:pic>
              </a:graphicData>
            </a:graphic>
          </wp:inline>
        </w:drawing>
      </w:r>
      <w:r>
        <w:drawing>
          <wp:inline distT="0" distB="0" distL="114300" distR="114300">
            <wp:extent cx="5848985" cy="8279765"/>
            <wp:effectExtent l="0" t="0" r="18415" b="6985"/>
            <wp:docPr id="6" name="图片 4" descr="Image_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age_00056"/>
                    <pic:cNvPicPr>
                      <a:picLocks noChangeAspect="1"/>
                    </pic:cNvPicPr>
                  </pic:nvPicPr>
                  <pic:blipFill>
                    <a:blip r:embed="rId5"/>
                    <a:stretch>
                      <a:fillRect/>
                    </a:stretch>
                  </pic:blipFill>
                  <pic:spPr>
                    <a:xfrm>
                      <a:off x="0" y="0"/>
                      <a:ext cx="5848985" cy="8279765"/>
                    </a:xfrm>
                    <a:prstGeom prst="rect">
                      <a:avLst/>
                    </a:prstGeom>
                    <a:noFill/>
                    <a:ln>
                      <a:noFill/>
                    </a:ln>
                  </pic:spPr>
                </pic:pic>
              </a:graphicData>
            </a:graphic>
          </wp:inline>
        </w:drawing>
      </w:r>
      <w:r>
        <w:drawing>
          <wp:inline distT="0" distB="0" distL="114300" distR="114300">
            <wp:extent cx="5848985" cy="8279765"/>
            <wp:effectExtent l="0" t="0" r="18415" b="6985"/>
            <wp:docPr id="7" name="图片 5" descr="Image_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age_00057"/>
                    <pic:cNvPicPr>
                      <a:picLocks noChangeAspect="1"/>
                    </pic:cNvPicPr>
                  </pic:nvPicPr>
                  <pic:blipFill>
                    <a:blip r:embed="rId6"/>
                    <a:stretch>
                      <a:fillRect/>
                    </a:stretch>
                  </pic:blipFill>
                  <pic:spPr>
                    <a:xfrm>
                      <a:off x="0" y="0"/>
                      <a:ext cx="5848985" cy="8279765"/>
                    </a:xfrm>
                    <a:prstGeom prst="rect">
                      <a:avLst/>
                    </a:prstGeom>
                    <a:noFill/>
                    <a:ln>
                      <a:noFill/>
                    </a:ln>
                  </pic:spPr>
                </pic:pic>
              </a:graphicData>
            </a:graphic>
          </wp:inline>
        </w:drawing>
      </w:r>
      <w:r>
        <w:drawing>
          <wp:inline distT="0" distB="0" distL="114300" distR="114300">
            <wp:extent cx="5848985" cy="8279765"/>
            <wp:effectExtent l="0" t="0" r="18415" b="6985"/>
            <wp:docPr id="4" name="图片 6" descr="Image_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age_00058"/>
                    <pic:cNvPicPr>
                      <a:picLocks noChangeAspect="1"/>
                    </pic:cNvPicPr>
                  </pic:nvPicPr>
                  <pic:blipFill>
                    <a:blip r:embed="rId7"/>
                    <a:stretch>
                      <a:fillRect/>
                    </a:stretch>
                  </pic:blipFill>
                  <pic:spPr>
                    <a:xfrm>
                      <a:off x="0" y="0"/>
                      <a:ext cx="5848985" cy="8279765"/>
                    </a:xfrm>
                    <a:prstGeom prst="rect">
                      <a:avLst/>
                    </a:prstGeom>
                    <a:noFill/>
                    <a:ln>
                      <a:noFill/>
                    </a:ln>
                  </pic:spPr>
                </pic:pic>
              </a:graphicData>
            </a:graphic>
          </wp:inline>
        </w:drawing>
      </w:r>
      <w:r>
        <w:drawing>
          <wp:inline distT="0" distB="0" distL="114300" distR="114300">
            <wp:extent cx="5848985" cy="8279765"/>
            <wp:effectExtent l="0" t="0" r="18415" b="6985"/>
            <wp:docPr id="5" name="图片 7" descr="Image_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age_00059"/>
                    <pic:cNvPicPr>
                      <a:picLocks noChangeAspect="1"/>
                    </pic:cNvPicPr>
                  </pic:nvPicPr>
                  <pic:blipFill>
                    <a:blip r:embed="rId8"/>
                    <a:stretch>
                      <a:fillRect/>
                    </a:stretch>
                  </pic:blipFill>
                  <pic:spPr>
                    <a:xfrm>
                      <a:off x="0" y="0"/>
                      <a:ext cx="5848985" cy="8279765"/>
                    </a:xfrm>
                    <a:prstGeom prst="rect">
                      <a:avLst/>
                    </a:prstGeom>
                    <a:noFill/>
                    <a:ln>
                      <a:noFill/>
                    </a:ln>
                  </pic:spPr>
                </pic:pic>
              </a:graphicData>
            </a:graphic>
          </wp:inline>
        </w:drawing>
      </w:r>
      <w:r>
        <w:drawing>
          <wp:inline distT="0" distB="0" distL="114300" distR="114300">
            <wp:extent cx="5848985" cy="8279765"/>
            <wp:effectExtent l="0" t="0" r="18415" b="6985"/>
            <wp:docPr id="3" name="图片 8" descr="Image_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age_00060"/>
                    <pic:cNvPicPr>
                      <a:picLocks noChangeAspect="1"/>
                    </pic:cNvPicPr>
                  </pic:nvPicPr>
                  <pic:blipFill>
                    <a:blip r:embed="rId9"/>
                    <a:stretch>
                      <a:fillRect/>
                    </a:stretch>
                  </pic:blipFill>
                  <pic:spPr>
                    <a:xfrm>
                      <a:off x="0" y="0"/>
                      <a:ext cx="5848985" cy="8279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236E61"/>
    <w:rsid w:val="20694C74"/>
    <w:rsid w:val="36DD3176"/>
    <w:rsid w:val="4D8C267F"/>
    <w:rsid w:val="67D52A6D"/>
    <w:rsid w:val="7AE830A2"/>
    <w:rsid w:val="7E354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
    <w:name w:val="Normal_1"/>
    <w:qFormat/>
    <w:uiPriority w:val="0"/>
    <w:pPr>
      <w:spacing w:before="120" w:after="240"/>
      <w:jc w:val="both"/>
    </w:pPr>
    <w:rPr>
      <w:rFonts w:ascii="Calibri" w:hAnsi="Calibri" w:eastAsia="Calibri" w:cs="Times New Roman"/>
      <w:sz w:val="22"/>
      <w:szCs w:val="22"/>
      <w:lang w:val="en-US" w:eastAsia="en-US" w:bidi="ar-SA"/>
    </w:rPr>
  </w:style>
  <w:style w:type="paragraph" w:customStyle="1" w:styleId="6">
    <w:name w:val="Normal_2"/>
    <w:qFormat/>
    <w:uiPriority w:val="0"/>
    <w:pPr>
      <w:spacing w:before="120" w:after="240"/>
      <w:jc w:val="both"/>
    </w:pPr>
    <w:rPr>
      <w:rFonts w:ascii="Calibri" w:hAnsi="Calibri" w:eastAsia="Calibri" w:cs="Times New Roman"/>
      <w:sz w:val="22"/>
      <w:szCs w:val="22"/>
      <w:lang w:val="en-US" w:eastAsia="en-US" w:bidi="ar-SA"/>
    </w:rPr>
  </w:style>
  <w:style w:type="paragraph" w:customStyle="1" w:styleId="7">
    <w:name w:val="Normal_3"/>
    <w:qFormat/>
    <w:uiPriority w:val="0"/>
    <w:pPr>
      <w:spacing w:before="120" w:after="240"/>
      <w:jc w:val="both"/>
    </w:pPr>
    <w:rPr>
      <w:rFonts w:ascii="Calibri" w:hAnsi="Calibri" w:eastAsia="Calibri" w:cs="Times New Roman"/>
      <w:sz w:val="22"/>
      <w:szCs w:val="22"/>
      <w:lang w:val="en-US" w:eastAsia="en-US" w:bidi="ar-SA"/>
    </w:rPr>
  </w:style>
  <w:style w:type="paragraph" w:customStyle="1" w:styleId="8">
    <w:name w:val="Normal_4"/>
    <w:qFormat/>
    <w:uiPriority w:val="0"/>
    <w:pPr>
      <w:spacing w:before="120" w:after="240"/>
      <w:jc w:val="both"/>
    </w:pPr>
    <w:rPr>
      <w:rFonts w:ascii="Calibri" w:hAnsi="Calibri" w:eastAsia="Calibri" w:cs="Times New Roman"/>
      <w:sz w:val="22"/>
      <w:szCs w:val="22"/>
      <w:lang w:val="en-US" w:eastAsia="en-US" w:bidi="ar-SA"/>
    </w:rPr>
  </w:style>
  <w:style w:type="paragraph" w:customStyle="1" w:styleId="9">
    <w:name w:val="Normal_5"/>
    <w:qFormat/>
    <w:uiPriority w:val="0"/>
    <w:pPr>
      <w:spacing w:before="120" w:after="240"/>
      <w:jc w:val="both"/>
    </w:pPr>
    <w:rPr>
      <w:rFonts w:ascii="Calibri" w:hAnsi="Calibri" w:eastAsia="Calibri" w:cs="Times New Roman"/>
      <w:sz w:val="22"/>
      <w:szCs w:val="22"/>
      <w:lang w:val="en-US" w:eastAsia="en-US" w:bidi="ar-SA"/>
    </w:rPr>
  </w:style>
  <w:style w:type="paragraph" w:customStyle="1" w:styleId="10">
    <w:name w:val="Normal_6"/>
    <w:qFormat/>
    <w:uiPriority w:val="0"/>
    <w:pPr>
      <w:spacing w:before="120" w:after="240"/>
      <w:jc w:val="both"/>
    </w:pPr>
    <w:rPr>
      <w:rFonts w:ascii="Calibri" w:hAnsi="Calibri" w:eastAsia="Calibri" w:cs="Times New Roman"/>
      <w:sz w:val="22"/>
      <w:szCs w:val="22"/>
      <w:lang w:val="en-US" w:eastAsia="en-US" w:bidi="ar-SA"/>
    </w:rPr>
  </w:style>
  <w:style w:type="paragraph" w:customStyle="1" w:styleId="11">
    <w:name w:val="Normal_7"/>
    <w:qFormat/>
    <w:uiPriority w:val="0"/>
    <w:pPr>
      <w:spacing w:before="120" w:after="240"/>
      <w:jc w:val="both"/>
    </w:pPr>
    <w:rPr>
      <w:rFonts w:ascii="Calibri" w:hAnsi="Calibri" w:eastAsia="Calibri" w:cs="Times New Roman"/>
      <w:sz w:val="22"/>
      <w:szCs w:val="22"/>
      <w:lang w:val="en-US" w:eastAsia="en-US" w:bidi="ar-SA"/>
    </w:rPr>
  </w:style>
  <w:style w:type="paragraph" w:customStyle="1" w:styleId="12">
    <w:name w:val="Normal_8"/>
    <w:qFormat/>
    <w:uiPriority w:val="0"/>
    <w:pPr>
      <w:spacing w:before="120" w:after="240"/>
      <w:jc w:val="both"/>
    </w:pPr>
    <w:rPr>
      <w:rFonts w:ascii="Calibri" w:hAnsi="Calibri" w:eastAsia="Calibri" w:cs="Times New Roman"/>
      <w:sz w:val="22"/>
      <w:szCs w:val="22"/>
      <w:lang w:val="en-US" w:eastAsia="en-US" w:bidi="ar-SA"/>
    </w:rPr>
  </w:style>
  <w:style w:type="paragraph" w:customStyle="1" w:styleId="13">
    <w:name w:val="Normal_9"/>
    <w:qFormat/>
    <w:uiPriority w:val="0"/>
    <w:pPr>
      <w:spacing w:before="120" w:after="240"/>
      <w:jc w:val="both"/>
    </w:pPr>
    <w:rPr>
      <w:rFonts w:ascii="Calibri" w:hAnsi="Calibri" w:eastAsia="Calibri" w:cs="Times New Roman"/>
      <w:sz w:val="22"/>
      <w:szCs w:val="22"/>
      <w:lang w:val="en-US" w:eastAsia="en-US" w:bidi="ar-SA"/>
    </w:rPr>
  </w:style>
  <w:style w:type="paragraph" w:customStyle="1" w:styleId="14">
    <w:name w:val="Normal_10"/>
    <w:qFormat/>
    <w:uiPriority w:val="0"/>
    <w:pPr>
      <w:spacing w:before="120" w:after="240"/>
      <w:jc w:val="both"/>
    </w:pPr>
    <w:rPr>
      <w:rFonts w:ascii="Calibri" w:hAnsi="Calibri" w:eastAsia="Calibri" w:cs="Times New Roman"/>
      <w:sz w:val="22"/>
      <w:szCs w:val="22"/>
      <w:lang w:val="en-US" w:eastAsia="en-US" w:bidi="ar-SA"/>
    </w:rPr>
  </w:style>
  <w:style w:type="paragraph" w:customStyle="1" w:styleId="15">
    <w:name w:val="Normal_11"/>
    <w:qFormat/>
    <w:uiPriority w:val="0"/>
    <w:pPr>
      <w:spacing w:before="120" w:after="240"/>
      <w:jc w:val="both"/>
    </w:pPr>
    <w:rPr>
      <w:rFonts w:ascii="Calibri" w:hAnsi="Calibri" w:eastAsia="Calibri" w:cs="Times New Roman"/>
      <w:sz w:val="22"/>
      <w:szCs w:val="22"/>
      <w:lang w:val="en-US" w:eastAsia="en-US" w:bidi="ar-SA"/>
    </w:rPr>
  </w:style>
  <w:style w:type="paragraph" w:customStyle="1" w:styleId="16">
    <w:name w:val="Normal_12"/>
    <w:qFormat/>
    <w:uiPriority w:val="0"/>
    <w:pPr>
      <w:spacing w:before="120" w:after="240"/>
      <w:jc w:val="both"/>
    </w:pPr>
    <w:rPr>
      <w:rFonts w:ascii="Calibri" w:hAnsi="Calibri" w:eastAsia="Calibri" w:cs="Times New Roman"/>
      <w:sz w:val="22"/>
      <w:szCs w:val="22"/>
      <w:lang w:val="en-US" w:eastAsia="en-US" w:bidi="ar-SA"/>
    </w:rPr>
  </w:style>
  <w:style w:type="paragraph" w:customStyle="1" w:styleId="17">
    <w:name w:val="Normal_13"/>
    <w:qFormat/>
    <w:uiPriority w:val="0"/>
    <w:pPr>
      <w:spacing w:before="120" w:after="240"/>
      <w:jc w:val="both"/>
    </w:pPr>
    <w:rPr>
      <w:rFonts w:ascii="Calibri" w:hAnsi="Calibri" w:eastAsia="Calibri" w:cs="Times New Roman"/>
      <w:sz w:val="22"/>
      <w:szCs w:val="22"/>
      <w:lang w:val="en-US" w:eastAsia="en-US" w:bidi="ar-SA"/>
    </w:rPr>
  </w:style>
  <w:style w:type="paragraph" w:customStyle="1" w:styleId="18">
    <w:name w:val="Normal_14"/>
    <w:qFormat/>
    <w:uiPriority w:val="0"/>
    <w:pPr>
      <w:spacing w:before="120" w:after="240"/>
      <w:jc w:val="both"/>
    </w:pPr>
    <w:rPr>
      <w:rFonts w:ascii="Calibri" w:hAnsi="Calibri" w:eastAsia="Calibri" w:cs="Times New Roman"/>
      <w:sz w:val="22"/>
      <w:szCs w:val="22"/>
      <w:lang w:val="en-US" w:eastAsia="en-US" w:bidi="ar-SA"/>
    </w:rPr>
  </w:style>
  <w:style w:type="paragraph" w:customStyle="1" w:styleId="19">
    <w:name w:val="Normal_15"/>
    <w:qFormat/>
    <w:uiPriority w:val="0"/>
    <w:pPr>
      <w:spacing w:before="120" w:after="240"/>
      <w:jc w:val="both"/>
    </w:pPr>
    <w:rPr>
      <w:rFonts w:ascii="Calibri" w:hAnsi="Calibri" w:eastAsia="Calibri" w:cs="Times New Roman"/>
      <w:sz w:val="22"/>
      <w:szCs w:val="22"/>
      <w:lang w:val="en-US" w:eastAsia="en-US" w:bidi="ar-SA"/>
    </w:rPr>
  </w:style>
  <w:style w:type="paragraph" w:customStyle="1" w:styleId="20">
    <w:name w:val="Normal_16"/>
    <w:qFormat/>
    <w:uiPriority w:val="0"/>
    <w:pPr>
      <w:spacing w:before="120" w:after="240"/>
      <w:jc w:val="both"/>
    </w:pPr>
    <w:rPr>
      <w:rFonts w:ascii="Calibri" w:hAnsi="Calibri" w:eastAsia="Calibri" w:cs="Times New Roman"/>
      <w:sz w:val="22"/>
      <w:szCs w:val="22"/>
      <w:lang w:val="en-US" w:eastAsia="en-US" w:bidi="ar-SA"/>
    </w:rPr>
  </w:style>
  <w:style w:type="paragraph" w:customStyle="1" w:styleId="21">
    <w:name w:val="Normal_17"/>
    <w:qFormat/>
    <w:uiPriority w:val="0"/>
    <w:pPr>
      <w:spacing w:before="120" w:after="240"/>
      <w:jc w:val="both"/>
    </w:pPr>
    <w:rPr>
      <w:rFonts w:ascii="Calibri" w:hAnsi="Calibri" w:eastAsia="Calibri" w:cs="Times New Roman"/>
      <w:sz w:val="22"/>
      <w:szCs w:val="22"/>
      <w:lang w:val="en-US" w:eastAsia="en-US" w:bidi="ar-SA"/>
    </w:rPr>
  </w:style>
  <w:style w:type="paragraph" w:customStyle="1" w:styleId="22">
    <w:name w:val="Normal_24"/>
    <w:qFormat/>
    <w:uiPriority w:val="0"/>
    <w:pPr>
      <w:spacing w:before="120" w:after="240"/>
      <w:jc w:val="both"/>
    </w:pPr>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2023-11-10T02:24:00Z</dcterms:created>
  <dc:creator>Administrator</dc:creator>
  <cp:lastModifiedBy>温温温</cp:lastModifiedBy>
  <cp:lastPrinted>2023-11-15T07:52:00Z</cp:lastPrinted>
  <dcterms:modified xsi:type="dcterms:W3CDTF">2024-01-09T02:04:38Z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